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43747106" w:rsidR="00BE4BEA" w:rsidRPr="00947DE0" w:rsidRDefault="0096549C" w:rsidP="00BE4BEA">
      <w:pPr>
        <w:pStyle w:val="berschrift1"/>
        <w:rPr>
          <w:rFonts w:cs="Arial"/>
        </w:rPr>
      </w:pPr>
      <w:r>
        <w:t>Solutions optics model 5 – Shadows</w:t>
      </w:r>
    </w:p>
    <w:p w14:paraId="06098752" w14:textId="72665E98" w:rsidR="00BE4BEA" w:rsidRPr="0096549C" w:rsidRDefault="00BE4BEA" w:rsidP="00BE4BEA">
      <w:pPr>
        <w:pStyle w:val="berschrift2"/>
        <w:rPr>
          <w:rFonts w:cs="Arial"/>
        </w:rPr>
      </w:pPr>
      <w:r>
        <w:t>Topic</w:t>
      </w:r>
    </w:p>
    <w:p w14:paraId="36991A2C" w14:textId="18448C37" w:rsidR="00BE4BEA" w:rsidRPr="0096549C" w:rsidRDefault="00BE4BEA" w:rsidP="00BE4BEA">
      <w:pPr>
        <w:rPr>
          <w:rFonts w:ascii="Arial" w:hAnsi="Arial" w:cs="Arial"/>
          <w:i/>
        </w:rPr>
      </w:pPr>
      <w:r>
        <w:rPr>
          <w:rFonts w:ascii="Arial" w:hAnsi="Arial"/>
          <w:i/>
        </w:rPr>
        <w:t>Optics – Umbra and penumbra</w:t>
      </w:r>
    </w:p>
    <w:p w14:paraId="2BA0E30B" w14:textId="4CC17385" w:rsidR="007F54E2" w:rsidRPr="0096549C" w:rsidRDefault="007F54E2" w:rsidP="0096549C">
      <w:pPr>
        <w:jc w:val="left"/>
        <w:rPr>
          <w:rFonts w:ascii="Arial" w:hAnsi="Arial" w:cs="Arial"/>
          <w:color w:val="000000"/>
          <w:sz w:val="27"/>
          <w:szCs w:val="27"/>
        </w:rPr>
      </w:pPr>
    </w:p>
    <w:p w14:paraId="224520BB" w14:textId="11A36843" w:rsidR="007F54E2" w:rsidRPr="0096549C" w:rsidRDefault="007F54E2" w:rsidP="007F54E2">
      <w:pPr>
        <w:pStyle w:val="berschrift2"/>
        <w:rPr>
          <w:rFonts w:cs="Arial"/>
        </w:rPr>
      </w:pPr>
      <w:r>
        <w:t>Topic task solution:</w:t>
      </w:r>
    </w:p>
    <w:p w14:paraId="37D43928" w14:textId="75059275" w:rsidR="00260DF5" w:rsidRPr="0096549C" w:rsidRDefault="00FB4034" w:rsidP="007F54E2">
      <w:pPr>
        <w:jc w:val="left"/>
        <w:rPr>
          <w:rFonts w:ascii="Arial" w:hAnsi="Arial" w:cs="Arial"/>
          <w:iCs/>
        </w:rPr>
      </w:pPr>
      <w:r>
        <w:rPr>
          <w:rFonts w:ascii="Arial" w:hAnsi="Arial"/>
          <w:iCs/>
        </w:rPr>
        <w:t>When an LED is switched on, a clear shadow will be shown on the projection screen. The area of the shadow is slightly larger than the column that makes the shadow.</w:t>
      </w:r>
    </w:p>
    <w:p w14:paraId="5DAE183D" w14:textId="6B5B008B" w:rsidR="00260DF5" w:rsidRPr="0096549C" w:rsidRDefault="00FB4034" w:rsidP="007F54E2">
      <w:pPr>
        <w:jc w:val="left"/>
        <w:rPr>
          <w:rFonts w:ascii="Arial" w:hAnsi="Arial" w:cs="Arial"/>
          <w:iCs/>
        </w:rPr>
      </w:pPr>
      <w:r>
        <w:rPr>
          <w:rFonts w:ascii="Arial" w:hAnsi="Arial"/>
          <w:noProof/>
        </w:rPr>
        <w:drawing>
          <wp:inline distT="0" distB="0" distL="0" distR="0" wp14:anchorId="2BC22946" wp14:editId="6E9BD583">
            <wp:extent cx="5760085" cy="2566670"/>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085" cy="2566670"/>
                    </a:xfrm>
                    <a:prstGeom prst="rect">
                      <a:avLst/>
                    </a:prstGeom>
                  </pic:spPr>
                </pic:pic>
              </a:graphicData>
            </a:graphic>
          </wp:inline>
        </w:drawing>
      </w:r>
    </w:p>
    <w:p w14:paraId="1D30BB60" w14:textId="216D666B" w:rsidR="00FB4034" w:rsidRPr="0096549C" w:rsidRDefault="00FB4034" w:rsidP="007F54E2">
      <w:pPr>
        <w:jc w:val="left"/>
        <w:rPr>
          <w:rFonts w:ascii="Arial" w:hAnsi="Arial" w:cs="Arial"/>
          <w:iCs/>
        </w:rPr>
      </w:pPr>
      <w:r>
        <w:rPr>
          <w:rFonts w:ascii="Arial" w:hAnsi="Arial"/>
          <w:iCs/>
        </w:rPr>
        <w:t>This is because this is a “punctiform” light source. It is clearer if we view our model from above. If we draw a few light beams into the image, we can see why the shadow looks larger than the column.</w:t>
      </w:r>
    </w:p>
    <w:p w14:paraId="7CFEC8D8" w14:textId="0D325A79" w:rsidR="00C451EF" w:rsidRPr="0096549C" w:rsidRDefault="00C451EF" w:rsidP="007F54E2">
      <w:pPr>
        <w:jc w:val="left"/>
        <w:rPr>
          <w:rFonts w:ascii="Arial" w:hAnsi="Arial" w:cs="Arial"/>
          <w:iCs/>
        </w:rPr>
      </w:pPr>
      <w:r>
        <w:rPr>
          <w:rFonts w:ascii="Arial" w:hAnsi="Arial"/>
          <w:noProof/>
        </w:rPr>
        <w:drawing>
          <wp:inline distT="0" distB="0" distL="0" distR="0" wp14:anchorId="5FC59BD0" wp14:editId="1ADE9C1A">
            <wp:extent cx="5760085" cy="2566670"/>
            <wp:effectExtent l="0" t="0" r="0" b="508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60085" cy="2566670"/>
                    </a:xfrm>
                    <a:prstGeom prst="rect">
                      <a:avLst/>
                    </a:prstGeom>
                  </pic:spPr>
                </pic:pic>
              </a:graphicData>
            </a:graphic>
          </wp:inline>
        </w:drawing>
      </w:r>
    </w:p>
    <w:p w14:paraId="263F1D24" w14:textId="33C0049E" w:rsidR="00C451EF" w:rsidRPr="0096549C" w:rsidRDefault="00875AB8" w:rsidP="007F54E2">
      <w:pPr>
        <w:jc w:val="left"/>
        <w:rPr>
          <w:rFonts w:ascii="Arial" w:hAnsi="Arial" w:cs="Arial"/>
          <w:iCs/>
        </w:rPr>
      </w:pPr>
      <w:r>
        <w:rPr>
          <w:rFonts w:ascii="Arial" w:hAnsi="Arial"/>
          <w:iCs/>
        </w:rPr>
        <w:lastRenderedPageBreak/>
        <w:t>The beams of the punctiform light source do not spread out in parallel, but rather spherically. This is why the shadow becomes larger, the farther the screen is away from the column. With a powerful torch, you can make your shadow as large as a house at night. It’s a great way to scare people, if you want!</w:t>
      </w:r>
    </w:p>
    <w:p w14:paraId="14BD44D8" w14:textId="3C06DBAD" w:rsidR="00875AB8" w:rsidRPr="0096549C" w:rsidRDefault="00875AB8" w:rsidP="007F54E2">
      <w:pPr>
        <w:jc w:val="left"/>
        <w:rPr>
          <w:rFonts w:ascii="Arial" w:hAnsi="Arial" w:cs="Arial"/>
          <w:iCs/>
        </w:rPr>
      </w:pPr>
    </w:p>
    <w:p w14:paraId="6E264114" w14:textId="77777777" w:rsidR="00875AB8" w:rsidRPr="0096549C" w:rsidRDefault="00875AB8" w:rsidP="007F54E2">
      <w:pPr>
        <w:jc w:val="left"/>
        <w:rPr>
          <w:rFonts w:ascii="Arial" w:hAnsi="Arial" w:cs="Arial"/>
          <w:iCs/>
        </w:rPr>
      </w:pPr>
    </w:p>
    <w:p w14:paraId="3CD5C23E" w14:textId="71D08E5C" w:rsidR="00C451EF" w:rsidRPr="0096549C" w:rsidRDefault="00C451EF" w:rsidP="007F54E2">
      <w:pPr>
        <w:jc w:val="left"/>
        <w:rPr>
          <w:rFonts w:ascii="Arial" w:hAnsi="Arial" w:cs="Arial"/>
          <w:iCs/>
        </w:rPr>
      </w:pPr>
      <w:r>
        <w:rPr>
          <w:rFonts w:ascii="Arial" w:hAnsi="Arial"/>
          <w:iCs/>
        </w:rPr>
        <w:t>If you connect the second LED and move the screen toward the column, at first you will see two shadows. Then the “umbra” will form and become wider and wider until it is as wide as the column – at the point where the screen touches the column.</w:t>
      </w:r>
    </w:p>
    <w:p w14:paraId="0DACC60A" w14:textId="383619C4" w:rsidR="00C451EF" w:rsidRPr="0096549C" w:rsidRDefault="00C451EF" w:rsidP="007F54E2">
      <w:pPr>
        <w:jc w:val="left"/>
        <w:rPr>
          <w:rFonts w:ascii="Arial" w:hAnsi="Arial" w:cs="Arial"/>
          <w:iCs/>
        </w:rPr>
      </w:pPr>
    </w:p>
    <w:p w14:paraId="65CBC53E" w14:textId="221E458F" w:rsidR="00FB4034" w:rsidRPr="0096549C" w:rsidRDefault="00FB4034" w:rsidP="007F54E2">
      <w:pPr>
        <w:jc w:val="left"/>
        <w:rPr>
          <w:rFonts w:ascii="Arial" w:hAnsi="Arial" w:cs="Arial"/>
          <w:iCs/>
        </w:rPr>
      </w:pPr>
      <w:r>
        <w:rPr>
          <w:rFonts w:ascii="Arial" w:hAnsi="Arial"/>
          <w:noProof/>
        </w:rPr>
        <w:drawing>
          <wp:inline distT="0" distB="0" distL="0" distR="0" wp14:anchorId="77E95172" wp14:editId="6EE18185">
            <wp:extent cx="5760085" cy="2566670"/>
            <wp:effectExtent l="0" t="0" r="0" b="508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085" cy="2566670"/>
                    </a:xfrm>
                    <a:prstGeom prst="rect">
                      <a:avLst/>
                    </a:prstGeom>
                  </pic:spPr>
                </pic:pic>
              </a:graphicData>
            </a:graphic>
          </wp:inline>
        </w:drawing>
      </w:r>
    </w:p>
    <w:p w14:paraId="7E5F453A" w14:textId="27EFD0CF" w:rsidR="00875AB8" w:rsidRPr="0096549C" w:rsidRDefault="00875AB8" w:rsidP="007F54E2">
      <w:pPr>
        <w:jc w:val="left"/>
        <w:rPr>
          <w:rFonts w:ascii="Arial" w:hAnsi="Arial" w:cs="Arial"/>
          <w:iCs/>
        </w:rPr>
      </w:pPr>
    </w:p>
    <w:p w14:paraId="362A7017" w14:textId="31014047" w:rsidR="00875AB8" w:rsidRPr="0096549C" w:rsidRDefault="00875AB8" w:rsidP="007F54E2">
      <w:pPr>
        <w:jc w:val="left"/>
        <w:rPr>
          <w:rFonts w:ascii="Arial" w:hAnsi="Arial" w:cs="Arial"/>
          <w:iCs/>
        </w:rPr>
      </w:pPr>
      <w:r>
        <w:rPr>
          <w:rFonts w:ascii="Arial" w:hAnsi="Arial"/>
          <w:iCs/>
        </w:rPr>
        <w:t>If we look at our model from above once again and draw two beams of one LED yellow and two beams of the other LED red, we will see why this is:</w:t>
      </w:r>
    </w:p>
    <w:p w14:paraId="4776B22E" w14:textId="728ED8FC" w:rsidR="00875AB8" w:rsidRPr="0096549C" w:rsidRDefault="00875AB8" w:rsidP="007F54E2">
      <w:pPr>
        <w:jc w:val="left"/>
        <w:rPr>
          <w:rFonts w:ascii="Arial" w:hAnsi="Arial" w:cs="Arial"/>
          <w:iCs/>
        </w:rPr>
      </w:pPr>
    </w:p>
    <w:p w14:paraId="6D272BDD" w14:textId="0B4A05A5" w:rsidR="00FF6532" w:rsidRPr="0096549C" w:rsidRDefault="00FF6532" w:rsidP="007F54E2">
      <w:pPr>
        <w:jc w:val="left"/>
        <w:rPr>
          <w:rFonts w:ascii="Arial" w:hAnsi="Arial" w:cs="Arial"/>
          <w:iCs/>
        </w:rPr>
      </w:pPr>
      <w:r>
        <w:rPr>
          <w:rFonts w:ascii="Arial" w:hAnsi="Arial"/>
          <w:noProof/>
        </w:rPr>
        <w:drawing>
          <wp:inline distT="0" distB="0" distL="0" distR="0" wp14:anchorId="31C745D6" wp14:editId="359C5FFD">
            <wp:extent cx="5760085" cy="2566670"/>
            <wp:effectExtent l="0" t="0" r="0" b="508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60085" cy="2566670"/>
                    </a:xfrm>
                    <a:prstGeom prst="rect">
                      <a:avLst/>
                    </a:prstGeom>
                  </pic:spPr>
                </pic:pic>
              </a:graphicData>
            </a:graphic>
          </wp:inline>
        </w:drawing>
      </w:r>
    </w:p>
    <w:p w14:paraId="69E1891E" w14:textId="4B1B3092" w:rsidR="00875AB8" w:rsidRPr="0096549C" w:rsidRDefault="00875AB8" w:rsidP="007F54E2">
      <w:pPr>
        <w:jc w:val="left"/>
        <w:rPr>
          <w:rFonts w:ascii="Arial" w:hAnsi="Arial" w:cs="Arial"/>
          <w:iCs/>
        </w:rPr>
      </w:pPr>
    </w:p>
    <w:p w14:paraId="6D232BB3" w14:textId="20C0FD3E" w:rsidR="00FF6532" w:rsidRPr="0096549C" w:rsidRDefault="00FF6532" w:rsidP="007F54E2">
      <w:pPr>
        <w:jc w:val="left"/>
        <w:rPr>
          <w:rFonts w:ascii="Arial" w:hAnsi="Arial" w:cs="Arial"/>
          <w:iCs/>
        </w:rPr>
      </w:pPr>
      <w:r>
        <w:rPr>
          <w:rFonts w:ascii="Arial" w:hAnsi="Arial"/>
          <w:iCs/>
        </w:rPr>
        <w:t xml:space="preserve">The two shadows the LEDs create overlap. There is an area that is in the </w:t>
      </w:r>
      <w:r>
        <w:rPr>
          <w:rFonts w:ascii="Arial" w:hAnsi="Arial"/>
          <w:b/>
          <w:bCs/>
          <w:iCs/>
        </w:rPr>
        <w:t>light</w:t>
      </w:r>
      <w:r>
        <w:rPr>
          <w:rFonts w:ascii="Arial" w:hAnsi="Arial"/>
          <w:iCs/>
        </w:rPr>
        <w:t xml:space="preserve"> of both LEDs (bright). There is another area that is in the </w:t>
      </w:r>
      <w:r>
        <w:rPr>
          <w:rFonts w:ascii="Arial" w:hAnsi="Arial"/>
          <w:b/>
          <w:bCs/>
          <w:iCs/>
        </w:rPr>
        <w:t>shadow</w:t>
      </w:r>
      <w:r>
        <w:rPr>
          <w:rFonts w:ascii="Arial" w:hAnsi="Arial"/>
          <w:iCs/>
        </w:rPr>
        <w:t xml:space="preserve"> of both LEDs: this is the umbra. This is the darkest area of the shadow. However, there are also areas that are in the shadow of one LED and not the other. These areas are called the penumbra. In reality, there are also light sources that are a surface. This includes windows, for instance. You can imagine these like a surface with an infinite number of small light sources. The shadow of the column - created by these many light sources - behaves in a manner similar to your model. Only the transitions between light and penumbra and umbra are fluid. Test it out!</w:t>
      </w:r>
    </w:p>
    <w:sectPr w:rsidR="00FF6532" w:rsidRPr="0096549C" w:rsidSect="00E96821">
      <w:headerReference w:type="even" r:id="rId12"/>
      <w:headerReference w:type="default" r:id="rId13"/>
      <w:footerReference w:type="even" r:id="rId14"/>
      <w:footerReference w:type="default" r:id="rId15"/>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8095C" w14:textId="77777777" w:rsidR="00E85A36" w:rsidRDefault="00E85A36">
      <w:r>
        <w:separator/>
      </w:r>
    </w:p>
  </w:endnote>
  <w:endnote w:type="continuationSeparator" w:id="0">
    <w:p w14:paraId="1553DD7E" w14:textId="77777777" w:rsidR="00E85A36" w:rsidRDefault="00E85A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007ECF" w:rsidRDefault="00007ECF">
    <w:pPr>
      <w:pStyle w:val="Fuzeile"/>
    </w:pPr>
    <w:r>
      <w:fldChar w:fldCharType="begin"/>
    </w:r>
    <w:r>
      <w:instrText>PAGE   \* MERGEFORMAT</w:instrText>
    </w:r>
    <w:r>
      <w:fldChar w:fldCharType="separate"/>
    </w:r>
    <w: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007ECF" w:rsidRDefault="00007ECF">
    <w:pPr>
      <w:pStyle w:val="Fuzeile"/>
    </w:pPr>
    <w:r>
      <w:tab/>
    </w:r>
    <w:r>
      <w:tab/>
    </w: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B1F73" w14:textId="77777777" w:rsidR="00E85A36" w:rsidRDefault="00E85A36">
      <w:r>
        <w:separator/>
      </w:r>
    </w:p>
  </w:footnote>
  <w:footnote w:type="continuationSeparator" w:id="0">
    <w:p w14:paraId="42FAF136" w14:textId="77777777" w:rsidR="00E85A36" w:rsidRDefault="00E85A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007ECF" w:rsidRDefault="00007ECF" w:rsidP="00E96821">
    <w:pPr>
      <w:pStyle w:val="Kopfzeile"/>
    </w:pPr>
    <w:r>
      <w:rPr>
        <w:szCs w:val="24"/>
        <w:highlight w:val="yellow"/>
      </w:rPr>
      <w:t>TOPIC</w:t>
    </w:r>
    <w:r>
      <w:t xml:space="preserve"> </w:t>
    </w:r>
    <w:r>
      <w:tab/>
    </w:r>
    <w: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398686F3" w:rsidR="00007ECF" w:rsidRPr="006E75D4" w:rsidRDefault="00007ECF" w:rsidP="006E75D4">
    <w:pPr>
      <w:pStyle w:val="Kopfzeile"/>
    </w:pPr>
    <w:r>
      <w:rPr>
        <w:noProof/>
      </w:rPr>
      <w:drawing>
        <wp:anchor distT="0" distB="0" distL="114300" distR="114300" simplePos="0" relativeHeight="251659264" behindDoc="0" locked="0" layoutInCell="1" allowOverlap="1" wp14:anchorId="0BFEBEA4" wp14:editId="46E459F1">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r>
      <w:t>Optics classroom set</w:t>
    </w:r>
    <w:r>
      <w:tab/>
    </w:r>
    <w:r>
      <w:tab/>
    </w:r>
    <w:r>
      <w:rPr>
        <w:noProof/>
      </w:rPr>
      <w:drawing>
        <wp:inline distT="0" distB="0" distL="0" distR="0" wp14:anchorId="415B4D84" wp14:editId="66B9880F">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4"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7"/>
  </w:num>
  <w:num w:numId="13">
    <w:abstractNumId w:val="11"/>
  </w:num>
  <w:num w:numId="14">
    <w:abstractNumId w:val="31"/>
  </w:num>
  <w:num w:numId="15">
    <w:abstractNumId w:val="15"/>
  </w:num>
  <w:num w:numId="16">
    <w:abstractNumId w:val="13"/>
  </w:num>
  <w:num w:numId="17">
    <w:abstractNumId w:val="14"/>
  </w:num>
  <w:num w:numId="18">
    <w:abstractNumId w:val="16"/>
  </w:num>
  <w:num w:numId="19">
    <w:abstractNumId w:val="30"/>
  </w:num>
  <w:num w:numId="20">
    <w:abstractNumId w:val="26"/>
  </w:num>
  <w:num w:numId="21">
    <w:abstractNumId w:val="25"/>
  </w:num>
  <w:num w:numId="22">
    <w:abstractNumId w:val="18"/>
  </w:num>
  <w:num w:numId="23">
    <w:abstractNumId w:val="20"/>
  </w:num>
  <w:num w:numId="24">
    <w:abstractNumId w:val="19"/>
  </w:num>
  <w:num w:numId="25">
    <w:abstractNumId w:val="24"/>
  </w:num>
  <w:num w:numId="26">
    <w:abstractNumId w:val="29"/>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2"/>
  </w:num>
  <w:num w:numId="38">
    <w:abstractNumId w:val="17"/>
  </w:num>
  <w:num w:numId="39">
    <w:abstractNumId w:val="21"/>
  </w:num>
  <w:num w:numId="40">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de-DE" w:vendorID="9" w:dllVersion="512" w:checkStyle="1"/>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07ECF"/>
    <w:rsid w:val="00015DCF"/>
    <w:rsid w:val="000173AE"/>
    <w:rsid w:val="00022F11"/>
    <w:rsid w:val="00023C1B"/>
    <w:rsid w:val="0002512F"/>
    <w:rsid w:val="0003721F"/>
    <w:rsid w:val="00043566"/>
    <w:rsid w:val="0004739D"/>
    <w:rsid w:val="00047CC3"/>
    <w:rsid w:val="00051787"/>
    <w:rsid w:val="0005193D"/>
    <w:rsid w:val="000656BD"/>
    <w:rsid w:val="000722C8"/>
    <w:rsid w:val="000764B6"/>
    <w:rsid w:val="000768BA"/>
    <w:rsid w:val="000800CF"/>
    <w:rsid w:val="000829A6"/>
    <w:rsid w:val="00083EE8"/>
    <w:rsid w:val="000A14B0"/>
    <w:rsid w:val="000A58E5"/>
    <w:rsid w:val="000B0025"/>
    <w:rsid w:val="000C0C66"/>
    <w:rsid w:val="000C2D90"/>
    <w:rsid w:val="000D0BC4"/>
    <w:rsid w:val="000D3717"/>
    <w:rsid w:val="000D7297"/>
    <w:rsid w:val="000E2D29"/>
    <w:rsid w:val="000E3792"/>
    <w:rsid w:val="000E705E"/>
    <w:rsid w:val="000F05B0"/>
    <w:rsid w:val="000F7641"/>
    <w:rsid w:val="000F7CFD"/>
    <w:rsid w:val="001064D3"/>
    <w:rsid w:val="00107A91"/>
    <w:rsid w:val="00111235"/>
    <w:rsid w:val="001149B0"/>
    <w:rsid w:val="00115F2E"/>
    <w:rsid w:val="0012561E"/>
    <w:rsid w:val="001278F5"/>
    <w:rsid w:val="00150D5B"/>
    <w:rsid w:val="00150FB2"/>
    <w:rsid w:val="0015608F"/>
    <w:rsid w:val="001561FB"/>
    <w:rsid w:val="00161792"/>
    <w:rsid w:val="00163413"/>
    <w:rsid w:val="0017296D"/>
    <w:rsid w:val="00190988"/>
    <w:rsid w:val="0019251C"/>
    <w:rsid w:val="00193FC7"/>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16C3"/>
    <w:rsid w:val="00247250"/>
    <w:rsid w:val="00251174"/>
    <w:rsid w:val="00260DF5"/>
    <w:rsid w:val="00261147"/>
    <w:rsid w:val="0026611F"/>
    <w:rsid w:val="00271A2E"/>
    <w:rsid w:val="00280D4B"/>
    <w:rsid w:val="00282294"/>
    <w:rsid w:val="0028590F"/>
    <w:rsid w:val="002A22E6"/>
    <w:rsid w:val="002A5084"/>
    <w:rsid w:val="002A69BD"/>
    <w:rsid w:val="002D3AB9"/>
    <w:rsid w:val="002D3EE9"/>
    <w:rsid w:val="002E1AAA"/>
    <w:rsid w:val="002E78C1"/>
    <w:rsid w:val="002F099E"/>
    <w:rsid w:val="003024E6"/>
    <w:rsid w:val="00302C0E"/>
    <w:rsid w:val="003100A9"/>
    <w:rsid w:val="00311190"/>
    <w:rsid w:val="00317B60"/>
    <w:rsid w:val="003221F3"/>
    <w:rsid w:val="00323B3E"/>
    <w:rsid w:val="00323D2C"/>
    <w:rsid w:val="00332330"/>
    <w:rsid w:val="00341FA6"/>
    <w:rsid w:val="00342916"/>
    <w:rsid w:val="003467CB"/>
    <w:rsid w:val="0035076B"/>
    <w:rsid w:val="00356DFD"/>
    <w:rsid w:val="0035785D"/>
    <w:rsid w:val="0036332F"/>
    <w:rsid w:val="00363EE2"/>
    <w:rsid w:val="003823B3"/>
    <w:rsid w:val="00383D6D"/>
    <w:rsid w:val="00384F22"/>
    <w:rsid w:val="003859EA"/>
    <w:rsid w:val="00385F80"/>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5EA1"/>
    <w:rsid w:val="004377CB"/>
    <w:rsid w:val="00455455"/>
    <w:rsid w:val="00461F6A"/>
    <w:rsid w:val="00471EE3"/>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01292"/>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A49AD"/>
    <w:rsid w:val="005B033D"/>
    <w:rsid w:val="005C12D4"/>
    <w:rsid w:val="005D2CD9"/>
    <w:rsid w:val="005E4E29"/>
    <w:rsid w:val="005E57C1"/>
    <w:rsid w:val="005F23E2"/>
    <w:rsid w:val="005F39A8"/>
    <w:rsid w:val="005F6FD5"/>
    <w:rsid w:val="005F7EED"/>
    <w:rsid w:val="006158A5"/>
    <w:rsid w:val="00617BB0"/>
    <w:rsid w:val="00627005"/>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D285F"/>
    <w:rsid w:val="006E3468"/>
    <w:rsid w:val="006E4FDE"/>
    <w:rsid w:val="006E5040"/>
    <w:rsid w:val="006E72F4"/>
    <w:rsid w:val="006E75D4"/>
    <w:rsid w:val="006F0534"/>
    <w:rsid w:val="006F192E"/>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C3042"/>
    <w:rsid w:val="007D21C3"/>
    <w:rsid w:val="007D4913"/>
    <w:rsid w:val="007E05F7"/>
    <w:rsid w:val="007E4768"/>
    <w:rsid w:val="007F4F0C"/>
    <w:rsid w:val="007F54E2"/>
    <w:rsid w:val="00805C2F"/>
    <w:rsid w:val="00817D41"/>
    <w:rsid w:val="00820994"/>
    <w:rsid w:val="008333A8"/>
    <w:rsid w:val="008347A7"/>
    <w:rsid w:val="00835C38"/>
    <w:rsid w:val="00837131"/>
    <w:rsid w:val="00842A30"/>
    <w:rsid w:val="00845F6A"/>
    <w:rsid w:val="00851230"/>
    <w:rsid w:val="00852E19"/>
    <w:rsid w:val="00853009"/>
    <w:rsid w:val="008608D1"/>
    <w:rsid w:val="00864063"/>
    <w:rsid w:val="00871348"/>
    <w:rsid w:val="00875AB8"/>
    <w:rsid w:val="00893D00"/>
    <w:rsid w:val="008963B8"/>
    <w:rsid w:val="008A620F"/>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47DE0"/>
    <w:rsid w:val="00953FAC"/>
    <w:rsid w:val="009600FE"/>
    <w:rsid w:val="0096549C"/>
    <w:rsid w:val="00965E72"/>
    <w:rsid w:val="00981AA1"/>
    <w:rsid w:val="00981D89"/>
    <w:rsid w:val="0098265E"/>
    <w:rsid w:val="009875A8"/>
    <w:rsid w:val="00994BF9"/>
    <w:rsid w:val="009972A6"/>
    <w:rsid w:val="009A25AA"/>
    <w:rsid w:val="009A6161"/>
    <w:rsid w:val="009A7F30"/>
    <w:rsid w:val="009B0951"/>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1568"/>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A1A82"/>
    <w:rsid w:val="00AA72E1"/>
    <w:rsid w:val="00AB189E"/>
    <w:rsid w:val="00AB3D76"/>
    <w:rsid w:val="00AC0D20"/>
    <w:rsid w:val="00AC2A64"/>
    <w:rsid w:val="00AC5E5A"/>
    <w:rsid w:val="00AC6B0C"/>
    <w:rsid w:val="00AD5E38"/>
    <w:rsid w:val="00AE0F63"/>
    <w:rsid w:val="00AE7717"/>
    <w:rsid w:val="00AF1AA7"/>
    <w:rsid w:val="00AF1FD5"/>
    <w:rsid w:val="00AF3FBE"/>
    <w:rsid w:val="00AF649B"/>
    <w:rsid w:val="00AF697E"/>
    <w:rsid w:val="00B07DDD"/>
    <w:rsid w:val="00B101CA"/>
    <w:rsid w:val="00B13727"/>
    <w:rsid w:val="00B1419A"/>
    <w:rsid w:val="00B2240D"/>
    <w:rsid w:val="00B22634"/>
    <w:rsid w:val="00B32562"/>
    <w:rsid w:val="00B3313C"/>
    <w:rsid w:val="00B344E0"/>
    <w:rsid w:val="00B3559F"/>
    <w:rsid w:val="00B479B8"/>
    <w:rsid w:val="00B47FAB"/>
    <w:rsid w:val="00B50EDC"/>
    <w:rsid w:val="00B50F40"/>
    <w:rsid w:val="00B51A52"/>
    <w:rsid w:val="00B52B28"/>
    <w:rsid w:val="00B55B8A"/>
    <w:rsid w:val="00B61D2A"/>
    <w:rsid w:val="00B655C1"/>
    <w:rsid w:val="00B65E65"/>
    <w:rsid w:val="00B71A2F"/>
    <w:rsid w:val="00B743EB"/>
    <w:rsid w:val="00B76AD1"/>
    <w:rsid w:val="00B820A9"/>
    <w:rsid w:val="00B92265"/>
    <w:rsid w:val="00B93F9E"/>
    <w:rsid w:val="00BB1B31"/>
    <w:rsid w:val="00BB3A6C"/>
    <w:rsid w:val="00BC591C"/>
    <w:rsid w:val="00BD239F"/>
    <w:rsid w:val="00BD27A4"/>
    <w:rsid w:val="00BD40EC"/>
    <w:rsid w:val="00BE4BEA"/>
    <w:rsid w:val="00BF0955"/>
    <w:rsid w:val="00BF1F97"/>
    <w:rsid w:val="00BF56BF"/>
    <w:rsid w:val="00BF665D"/>
    <w:rsid w:val="00C02DE9"/>
    <w:rsid w:val="00C16EB2"/>
    <w:rsid w:val="00C17CA0"/>
    <w:rsid w:val="00C26B85"/>
    <w:rsid w:val="00C35FA3"/>
    <w:rsid w:val="00C451EF"/>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C3D5A"/>
    <w:rsid w:val="00DD0043"/>
    <w:rsid w:val="00DD3EDD"/>
    <w:rsid w:val="00DE25B4"/>
    <w:rsid w:val="00DE2CE3"/>
    <w:rsid w:val="00DE6379"/>
    <w:rsid w:val="00DE69CA"/>
    <w:rsid w:val="00DF11EF"/>
    <w:rsid w:val="00E00F64"/>
    <w:rsid w:val="00E10555"/>
    <w:rsid w:val="00E1381D"/>
    <w:rsid w:val="00E140C9"/>
    <w:rsid w:val="00E1562C"/>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E9C"/>
    <w:rsid w:val="00E70328"/>
    <w:rsid w:val="00E722C2"/>
    <w:rsid w:val="00E72F37"/>
    <w:rsid w:val="00E7622D"/>
    <w:rsid w:val="00E81DF1"/>
    <w:rsid w:val="00E8260F"/>
    <w:rsid w:val="00E82918"/>
    <w:rsid w:val="00E85A36"/>
    <w:rsid w:val="00E8709C"/>
    <w:rsid w:val="00E91A33"/>
    <w:rsid w:val="00E9355D"/>
    <w:rsid w:val="00E96821"/>
    <w:rsid w:val="00EA3AD3"/>
    <w:rsid w:val="00EB5CCE"/>
    <w:rsid w:val="00EB625F"/>
    <w:rsid w:val="00EB679E"/>
    <w:rsid w:val="00EB77AE"/>
    <w:rsid w:val="00EC0F53"/>
    <w:rsid w:val="00EC1DCF"/>
    <w:rsid w:val="00EC3AB2"/>
    <w:rsid w:val="00ED098D"/>
    <w:rsid w:val="00ED627A"/>
    <w:rsid w:val="00EE49BC"/>
    <w:rsid w:val="00EE586D"/>
    <w:rsid w:val="00EF6673"/>
    <w:rsid w:val="00EF7555"/>
    <w:rsid w:val="00F23340"/>
    <w:rsid w:val="00F25760"/>
    <w:rsid w:val="00F3420A"/>
    <w:rsid w:val="00F40987"/>
    <w:rsid w:val="00F40AB1"/>
    <w:rsid w:val="00F42642"/>
    <w:rsid w:val="00F55307"/>
    <w:rsid w:val="00F55FDE"/>
    <w:rsid w:val="00F57954"/>
    <w:rsid w:val="00F62E7D"/>
    <w:rsid w:val="00F70A51"/>
    <w:rsid w:val="00F7267E"/>
    <w:rsid w:val="00F7716E"/>
    <w:rsid w:val="00F96926"/>
    <w:rsid w:val="00FA4A6D"/>
    <w:rsid w:val="00FB0D10"/>
    <w:rsid w:val="00FB36C9"/>
    <w:rsid w:val="00FB4034"/>
    <w:rsid w:val="00FB4130"/>
    <w:rsid w:val="00FB51B5"/>
    <w:rsid w:val="00FB7830"/>
    <w:rsid w:val="00FC135F"/>
    <w:rsid w:val="00FC25A4"/>
    <w:rsid w:val="00FC7FB5"/>
    <w:rsid w:val="00FD51E4"/>
    <w:rsid w:val="00FD6AB2"/>
    <w:rsid w:val="00FF65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BB5117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en-GB" w:eastAsia="de-DE" w:bidi="ar-SA"/>
    </w:rPr>
  </w:style>
  <w:style w:type="character" w:customStyle="1" w:styleId="Titel1Zchn">
    <w:name w:val="Titel (1) Zchn"/>
    <w:basedOn w:val="TitelZchn"/>
    <w:link w:val="Titel1"/>
    <w:rsid w:val="00CA31C2"/>
    <w:rPr>
      <w:rFonts w:ascii="Arial" w:hAnsi="Arial"/>
      <w:b/>
      <w:sz w:val="48"/>
      <w:szCs w:val="40"/>
      <w:lang w:val="en-GB"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5408963">
      <w:bodyDiv w:val="1"/>
      <w:marLeft w:val="0"/>
      <w:marRight w:val="0"/>
      <w:marTop w:val="0"/>
      <w:marBottom w:val="0"/>
      <w:divBdr>
        <w:top w:val="none" w:sz="0" w:space="0" w:color="auto"/>
        <w:left w:val="none" w:sz="0" w:space="0" w:color="auto"/>
        <w:bottom w:val="none" w:sz="0" w:space="0" w:color="auto"/>
        <w:right w:val="none" w:sz="0" w:space="0" w:color="auto"/>
      </w:divBdr>
      <w:divsChild>
        <w:div w:id="1874685837">
          <w:marLeft w:val="0"/>
          <w:marRight w:val="0"/>
          <w:marTop w:val="0"/>
          <w:marBottom w:val="0"/>
          <w:divBdr>
            <w:top w:val="none" w:sz="0" w:space="0" w:color="auto"/>
            <w:left w:val="none" w:sz="0" w:space="0" w:color="auto"/>
            <w:bottom w:val="none" w:sz="0" w:space="0" w:color="auto"/>
            <w:right w:val="none" w:sz="0" w:space="0" w:color="auto"/>
          </w:divBdr>
        </w:div>
        <w:div w:id="197401161">
          <w:marLeft w:val="0"/>
          <w:marRight w:val="0"/>
          <w:marTop w:val="0"/>
          <w:marBottom w:val="0"/>
          <w:divBdr>
            <w:top w:val="none" w:sz="0" w:space="0" w:color="auto"/>
            <w:left w:val="none" w:sz="0" w:space="0" w:color="auto"/>
            <w:bottom w:val="none" w:sz="0" w:space="0" w:color="auto"/>
            <w:right w:val="none" w:sz="0" w:space="0" w:color="auto"/>
          </w:divBdr>
        </w:div>
        <w:div w:id="892540112">
          <w:marLeft w:val="0"/>
          <w:marRight w:val="0"/>
          <w:marTop w:val="0"/>
          <w:marBottom w:val="0"/>
          <w:divBdr>
            <w:top w:val="none" w:sz="0" w:space="0" w:color="auto"/>
            <w:left w:val="none" w:sz="0" w:space="0" w:color="auto"/>
            <w:bottom w:val="none" w:sz="0" w:space="0" w:color="auto"/>
            <w:right w:val="none" w:sz="0" w:space="0" w:color="auto"/>
          </w:divBdr>
          <w:divsChild>
            <w:div w:id="4796658">
              <w:marLeft w:val="0"/>
              <w:marRight w:val="0"/>
              <w:marTop w:val="0"/>
              <w:marBottom w:val="0"/>
              <w:divBdr>
                <w:top w:val="none" w:sz="0" w:space="0" w:color="auto"/>
                <w:left w:val="none" w:sz="0" w:space="0" w:color="auto"/>
                <w:bottom w:val="none" w:sz="0" w:space="0" w:color="auto"/>
                <w:right w:val="none" w:sz="0" w:space="0" w:color="auto"/>
              </w:divBdr>
            </w:div>
            <w:div w:id="996306981">
              <w:marLeft w:val="0"/>
              <w:marRight w:val="0"/>
              <w:marTop w:val="0"/>
              <w:marBottom w:val="0"/>
              <w:divBdr>
                <w:top w:val="none" w:sz="0" w:space="0" w:color="auto"/>
                <w:left w:val="none" w:sz="0" w:space="0" w:color="auto"/>
                <w:bottom w:val="none" w:sz="0" w:space="0" w:color="auto"/>
                <w:right w:val="none" w:sz="0" w:space="0" w:color="auto"/>
              </w:divBdr>
            </w:div>
            <w:div w:id="1777285940">
              <w:marLeft w:val="0"/>
              <w:marRight w:val="0"/>
              <w:marTop w:val="0"/>
              <w:marBottom w:val="0"/>
              <w:divBdr>
                <w:top w:val="none" w:sz="0" w:space="0" w:color="auto"/>
                <w:left w:val="none" w:sz="0" w:space="0" w:color="auto"/>
                <w:bottom w:val="none" w:sz="0" w:space="0" w:color="auto"/>
                <w:right w:val="none" w:sz="0" w:space="0" w:color="auto"/>
              </w:divBdr>
            </w:div>
            <w:div w:id="1460684619">
              <w:marLeft w:val="0"/>
              <w:marRight w:val="0"/>
              <w:marTop w:val="0"/>
              <w:marBottom w:val="0"/>
              <w:divBdr>
                <w:top w:val="none" w:sz="0" w:space="0" w:color="auto"/>
                <w:left w:val="none" w:sz="0" w:space="0" w:color="auto"/>
                <w:bottom w:val="none" w:sz="0" w:space="0" w:color="auto"/>
                <w:right w:val="none" w:sz="0" w:space="0" w:color="auto"/>
              </w:divBdr>
            </w:div>
            <w:div w:id="314459166">
              <w:marLeft w:val="0"/>
              <w:marRight w:val="0"/>
              <w:marTop w:val="0"/>
              <w:marBottom w:val="0"/>
              <w:divBdr>
                <w:top w:val="none" w:sz="0" w:space="0" w:color="auto"/>
                <w:left w:val="none" w:sz="0" w:space="0" w:color="auto"/>
                <w:bottom w:val="none" w:sz="0" w:space="0" w:color="auto"/>
                <w:right w:val="none" w:sz="0" w:space="0" w:color="auto"/>
              </w:divBdr>
            </w:div>
            <w:div w:id="1014574262">
              <w:marLeft w:val="0"/>
              <w:marRight w:val="0"/>
              <w:marTop w:val="0"/>
              <w:marBottom w:val="0"/>
              <w:divBdr>
                <w:top w:val="none" w:sz="0" w:space="0" w:color="auto"/>
                <w:left w:val="none" w:sz="0" w:space="0" w:color="auto"/>
                <w:bottom w:val="none" w:sz="0" w:space="0" w:color="auto"/>
                <w:right w:val="none" w:sz="0" w:space="0" w:color="auto"/>
              </w:divBdr>
            </w:div>
            <w:div w:id="1392269194">
              <w:marLeft w:val="0"/>
              <w:marRight w:val="0"/>
              <w:marTop w:val="0"/>
              <w:marBottom w:val="0"/>
              <w:divBdr>
                <w:top w:val="none" w:sz="0" w:space="0" w:color="auto"/>
                <w:left w:val="none" w:sz="0" w:space="0" w:color="auto"/>
                <w:bottom w:val="none" w:sz="0" w:space="0" w:color="auto"/>
                <w:right w:val="none" w:sz="0" w:space="0" w:color="auto"/>
              </w:divBdr>
            </w:div>
            <w:div w:id="2031880846">
              <w:marLeft w:val="0"/>
              <w:marRight w:val="0"/>
              <w:marTop w:val="0"/>
              <w:marBottom w:val="0"/>
              <w:divBdr>
                <w:top w:val="none" w:sz="0" w:space="0" w:color="auto"/>
                <w:left w:val="none" w:sz="0" w:space="0" w:color="auto"/>
                <w:bottom w:val="none" w:sz="0" w:space="0" w:color="auto"/>
                <w:right w:val="none" w:sz="0" w:space="0" w:color="auto"/>
              </w:divBdr>
            </w:div>
            <w:div w:id="1791901640">
              <w:marLeft w:val="0"/>
              <w:marRight w:val="0"/>
              <w:marTop w:val="0"/>
              <w:marBottom w:val="0"/>
              <w:divBdr>
                <w:top w:val="none" w:sz="0" w:space="0" w:color="auto"/>
                <w:left w:val="none" w:sz="0" w:space="0" w:color="auto"/>
                <w:bottom w:val="none" w:sz="0" w:space="0" w:color="auto"/>
                <w:right w:val="none" w:sz="0" w:space="0" w:color="auto"/>
              </w:divBdr>
            </w:div>
            <w:div w:id="46926445">
              <w:marLeft w:val="0"/>
              <w:marRight w:val="0"/>
              <w:marTop w:val="0"/>
              <w:marBottom w:val="0"/>
              <w:divBdr>
                <w:top w:val="none" w:sz="0" w:space="0" w:color="auto"/>
                <w:left w:val="none" w:sz="0" w:space="0" w:color="auto"/>
                <w:bottom w:val="none" w:sz="0" w:space="0" w:color="auto"/>
                <w:right w:val="none" w:sz="0" w:space="0" w:color="auto"/>
              </w:divBdr>
            </w:div>
            <w:div w:id="366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367417016">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BD924-6AA0-4C53-B713-7DB8D3A35CF9}">
  <ds:schemaRefs>
    <ds:schemaRef ds:uri="http://schemas.openxmlformats.org/officeDocument/2006/bibliography"/>
  </ds:schemaRefs>
</ds:datastoreItem>
</file>

<file path=customXml/itemProps2.xml><?xml version="1.0" encoding="utf-8"?>
<ds:datastoreItem xmlns:ds="http://schemas.openxmlformats.org/officeDocument/2006/customXml" ds:itemID="{FE3E2991-BC6B-4CF4-9758-559F1B4FB872}"/>
</file>

<file path=customXml/itemProps3.xml><?xml version="1.0" encoding="utf-8"?>
<ds:datastoreItem xmlns:ds="http://schemas.openxmlformats.org/officeDocument/2006/customXml" ds:itemID="{3E8D2AA0-A6C1-48D0-93BB-82A219E64956}"/>
</file>

<file path=customXml/itemProps4.xml><?xml version="1.0" encoding="utf-8"?>
<ds:datastoreItem xmlns:ds="http://schemas.openxmlformats.org/officeDocument/2006/customXml" ds:itemID="{AC13986C-C894-4A45-B389-CEFB9DFF89A3}"/>
</file>

<file path=docProps/app.xml><?xml version="1.0" encoding="utf-8"?>
<Properties xmlns="http://schemas.openxmlformats.org/officeDocument/2006/extended-properties" xmlns:vt="http://schemas.openxmlformats.org/officeDocument/2006/docPropsVTypes">
  <Template>Normal.dotm</Template>
  <TotalTime>0</TotalTime>
  <Pages>3</Pages>
  <Words>354</Words>
  <Characters>1524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1875</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2021-02-24T10:10:00Z</dcterms:created>
  <dcterms:modified xsi:type="dcterms:W3CDTF">2021-02-24T10:10:00Z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