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D41F72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1</w:t>
      </w:r>
    </w:p>
    <w:p w14:paraId="40BDF942" w14:textId="4EC0DFF4" w:rsidR="0029280F" w:rsidRPr="00A1444B" w:rsidRDefault="009E63A5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Entramado</w:t>
      </w:r>
    </w:p>
    <w:p w14:paraId="6026B9C9" w14:textId="39E1A607" w:rsidR="00F04967" w:rsidRDefault="00CF2F99" w:rsidP="00F04967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La casa es </w:t>
      </w:r>
      <w:r>
        <w:rPr>
          <w:b/>
          <w:rFonts w:ascii="Comic Sans MS" w:hAnsi="Comic Sans MS"/>
        </w:rPr>
        <w:t xml:space="preserve">inestable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Los tres puntales están enlazados entre sí con dos articulaciones sobre de las cuales pueden girar libremente.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Sin embargo, con una barra en la cadena, la respectiva barra adyacente puede moverse hacia arriba y </w:t>
      </w:r>
      <w:r>
        <w:rPr>
          <w:b/>
          <w:rFonts w:ascii="Comic Sans MS" w:hAnsi="Comic Sans MS"/>
        </w:rPr>
        <w:t xml:space="preserve">hacia abajo</w:t>
      </w:r>
      <w:r>
        <w:rPr>
          <w:rFonts w:ascii="Comic Sans MS" w:hAnsi="Comic Sans MS"/>
        </w:rPr>
        <w:t xml:space="preserve"> o también hacia la derecha o </w:t>
      </w:r>
      <w:r>
        <w:rPr>
          <w:b/>
          <w:rFonts w:ascii="Comic Sans MS" w:hAnsi="Comic Sans MS"/>
        </w:rPr>
        <w:t xml:space="preserve">hacia la izquierda</w:t>
      </w:r>
      <w:r>
        <w:rPr>
          <w:rFonts w:ascii="Comic Sans MS" w:hAnsi="Comic Sans MS"/>
        </w:rPr>
        <w:t xml:space="preserve">.</w:t>
      </w:r>
    </w:p>
    <w:p w14:paraId="20AB1C55" w14:textId="77777777" w:rsidR="00665279" w:rsidRPr="00665279" w:rsidRDefault="00665279" w:rsidP="00665279">
      <w:pPr>
        <w:pStyle w:val="Listenabsatz"/>
        <w:rPr>
          <w:rFonts w:ascii="Comic Sans MS" w:hAnsi="Comic Sans MS" w:cstheme="minorBidi"/>
        </w:rPr>
      </w:pPr>
    </w:p>
    <w:p w14:paraId="7FD4BC40" w14:textId="48EF2EFC" w:rsidR="00883E1C" w:rsidRDefault="00883E1C" w:rsidP="00883E1C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bookmarkStart w:id="0" w:name="_Hlk108614692"/>
      <w:r>
        <w:rPr>
          <w:rFonts w:ascii="Comic Sans MS" w:hAnsi="Comic Sans MS"/>
        </w:rPr>
        <w:t xml:space="preserve">Junto con el techo, las </w:t>
      </w:r>
      <w:r>
        <w:rPr>
          <w:b/>
          <w:rFonts w:ascii="Comic Sans MS" w:hAnsi="Comic Sans MS"/>
        </w:rPr>
        <w:t xml:space="preserve">barras de entramado</w:t>
      </w:r>
      <w:r>
        <w:rPr>
          <w:rFonts w:ascii="Comic Sans MS" w:hAnsi="Comic Sans MS"/>
        </w:rPr>
        <w:t xml:space="preserve"> ahora forman una cadena </w:t>
      </w:r>
      <w:r>
        <w:rPr>
          <w:b/>
          <w:rFonts w:ascii="Comic Sans MS" w:hAnsi="Comic Sans MS"/>
        </w:rPr>
        <w:t xml:space="preserve">cerrada</w:t>
      </w:r>
      <w:r>
        <w:rPr>
          <w:rFonts w:ascii="Comic Sans MS" w:hAnsi="Comic Sans MS"/>
        </w:rPr>
        <w:t xml:space="preserve"> en la que los elementos individuales pueden continuar moviéndose con relativa libertad.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Aún se tambalea un poco, pero mucho menos que en la primera prueba.</w:t>
      </w:r>
    </w:p>
    <w:bookmarkEnd w:id="0"/>
    <w:p w14:paraId="080400E0" w14:textId="77777777" w:rsidR="007A6A9D" w:rsidRPr="007A6A9D" w:rsidRDefault="007A6A9D" w:rsidP="007A6A9D">
      <w:pPr>
        <w:pStyle w:val="Listenabsatz"/>
        <w:rPr>
          <w:rFonts w:ascii="Comic Sans MS" w:hAnsi="Comic Sans MS" w:cstheme="minorBidi"/>
        </w:rPr>
      </w:pPr>
    </w:p>
    <w:p w14:paraId="29E66D83" w14:textId="2119856A" w:rsidR="007A6A9D" w:rsidRDefault="00FA3231" w:rsidP="00883E1C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bookmarkStart w:id="1" w:name="_Hlk108620413"/>
      <w:r>
        <w:rPr>
          <w:rFonts w:ascii="Comic Sans MS" w:hAnsi="Comic Sans MS"/>
        </w:rPr>
        <w:t xml:space="preserve">La «viga de madera» convierte el techo en un triángulo cerrado que </w:t>
      </w:r>
      <w:r>
        <w:rPr>
          <w:b/>
          <w:rFonts w:ascii="Comic Sans MS" w:hAnsi="Comic Sans MS"/>
        </w:rPr>
        <w:t xml:space="preserve">ya no puede cambiar de forma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techo es </w:t>
      </w:r>
      <w:r>
        <w:rPr>
          <w:b/>
          <w:rFonts w:ascii="Comic Sans MS" w:hAnsi="Comic Sans MS"/>
        </w:rPr>
        <w:t xml:space="preserve">estable</w:t>
      </w:r>
      <w:r>
        <w:rPr>
          <w:rFonts w:ascii="Comic Sans MS" w:hAnsi="Comic Sans MS"/>
        </w:rPr>
        <w:t xml:space="preserve">; el resto todavía es bastante móvil.</w:t>
      </w:r>
    </w:p>
    <w:bookmarkEnd w:id="1"/>
    <w:p w14:paraId="43B06EEA" w14:textId="77777777" w:rsidR="00CB6522" w:rsidRPr="00CB6522" w:rsidRDefault="00CB6522" w:rsidP="00CB6522">
      <w:pPr>
        <w:pStyle w:val="Listenabsatz"/>
        <w:rPr>
          <w:rFonts w:ascii="Comic Sans MS" w:hAnsi="Comic Sans MS" w:cstheme="minorBidi"/>
        </w:rPr>
      </w:pPr>
    </w:p>
    <w:p w14:paraId="57FC3463" w14:textId="4888941D" w:rsidR="003C1999" w:rsidRDefault="00396E35" w:rsidP="003C1999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La casa de Papá Noel ahora es </w:t>
      </w:r>
      <w:r>
        <w:rPr>
          <w:b/>
          <w:rFonts w:ascii="Comic Sans MS" w:hAnsi="Comic Sans MS"/>
        </w:rPr>
        <w:t xml:space="preserve">superestable</w:t>
      </w:r>
      <w:r>
        <w:rPr>
          <w:rFonts w:ascii="Comic Sans MS" w:hAnsi="Comic Sans MS"/>
        </w:rPr>
        <w:t xml:space="preserve"> - incluso podrías prescindir de una de las barras diagonales y seguiría siendo estable.</w:t>
      </w:r>
    </w:p>
    <w:p w14:paraId="2B1AE9A5" w14:textId="77777777" w:rsidR="003C1999" w:rsidRPr="003C1999" w:rsidRDefault="003C1999" w:rsidP="003C1999">
      <w:pPr>
        <w:pStyle w:val="Listenabsatz"/>
        <w:rPr>
          <w:rFonts w:ascii="Comic Sans MS" w:hAnsi="Comic Sans MS" w:cstheme="minorBidi"/>
        </w:rPr>
      </w:pPr>
    </w:p>
    <w:p w14:paraId="4381BE1E" w14:textId="77777777" w:rsidR="00E20D69" w:rsidRDefault="003C1999" w:rsidP="003C1999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Los puntales pueden girar sobre del eje de cada nodo.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Sin embargo, el otro nodo respectivo no puede moverse porque está «sostenido» por los puntales adyacentes.</w:t>
      </w:r>
      <w:r>
        <w:rPr>
          <w:rFonts w:ascii="Comic Sans MS" w:hAnsi="Comic Sans MS"/>
        </w:rPr>
        <w:t xml:space="preserve"> </w:t>
      </w:r>
    </w:p>
    <w:p w14:paraId="636757D8" w14:textId="77777777" w:rsidR="00E20D69" w:rsidRPr="00E20D69" w:rsidRDefault="00E20D69" w:rsidP="00E20D69">
      <w:pPr>
        <w:pStyle w:val="Listenabsatz"/>
        <w:rPr>
          <w:rFonts w:ascii="Comic Sans MS" w:hAnsi="Comic Sans MS" w:cstheme="minorBidi"/>
        </w:rPr>
      </w:pPr>
    </w:p>
    <w:p w14:paraId="188E6DE7" w14:textId="6686E2C3" w:rsidR="003C1999" w:rsidRPr="007E3F95" w:rsidRDefault="007E3F95" w:rsidP="007E3F9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entramado ideal se compone únicamente de barras unidas con articulaciones.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Estas barras solo se someten a fuerzas de </w:t>
      </w:r>
      <w:r>
        <w:rPr>
          <w:b/>
          <w:rFonts w:ascii="Comic Sans MS" w:hAnsi="Comic Sans MS"/>
        </w:rPr>
        <w:t xml:space="preserve">tracción</w:t>
      </w:r>
      <w:r>
        <w:rPr>
          <w:rFonts w:ascii="Comic Sans MS" w:hAnsi="Comic Sans MS"/>
        </w:rPr>
        <w:t xml:space="preserve"> o </w:t>
      </w:r>
      <w:r>
        <w:rPr>
          <w:b/>
          <w:rFonts w:ascii="Comic Sans MS" w:hAnsi="Comic Sans MS"/>
        </w:rPr>
        <w:t xml:space="preserve">compresión</w:t>
      </w:r>
      <w:r>
        <w:rPr>
          <w:rFonts w:ascii="Comic Sans MS" w:hAnsi="Comic Sans MS"/>
        </w:rPr>
        <w:t xml:space="preserve">.</w:t>
      </w:r>
    </w:p>
    <w:sectPr w:rsidR="003C1999" w:rsidRPr="007E3F95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8C15E" w14:textId="77777777" w:rsidR="001F040F" w:rsidRDefault="001F040F">
      <w:r>
        <w:separator/>
      </w:r>
    </w:p>
  </w:endnote>
  <w:endnote w:type="continuationSeparator" w:id="0">
    <w:p w14:paraId="270F7207" w14:textId="77777777" w:rsidR="001F040F" w:rsidRDefault="001F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BE8A" w14:textId="77777777" w:rsidR="001F040F" w:rsidRDefault="001F040F">
      <w:r>
        <w:separator/>
      </w:r>
    </w:p>
  </w:footnote>
  <w:footnote w:type="continuationSeparator" w:id="0">
    <w:p w14:paraId="11EE7617" w14:textId="77777777" w:rsidR="001F040F" w:rsidRDefault="001F0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r>
      <w:t xml:space="preserve">Material didáctico de estática </w:t>
    </w:r>
    <w:bookmarkEnd w:id="2"/>
    <w:r>
      <w:t xml:space="preserve">– 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95653"/>
    <w:multiLevelType w:val="hybridMultilevel"/>
    <w:tmpl w:val="5EAC83A4"/>
    <w:lvl w:ilvl="0" w:tplc="7A70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4042472">
    <w:abstractNumId w:val="22"/>
  </w:num>
  <w:num w:numId="2" w16cid:durableId="1080254530">
    <w:abstractNumId w:val="10"/>
  </w:num>
  <w:num w:numId="3" w16cid:durableId="1646276765">
    <w:abstractNumId w:val="10"/>
  </w:num>
  <w:num w:numId="4" w16cid:durableId="1675768143">
    <w:abstractNumId w:val="10"/>
  </w:num>
  <w:num w:numId="5" w16cid:durableId="1735202443">
    <w:abstractNumId w:val="10"/>
  </w:num>
  <w:num w:numId="6" w16cid:durableId="779880669">
    <w:abstractNumId w:val="10"/>
  </w:num>
  <w:num w:numId="7" w16cid:durableId="19212810">
    <w:abstractNumId w:val="10"/>
  </w:num>
  <w:num w:numId="8" w16cid:durableId="2056002455">
    <w:abstractNumId w:val="10"/>
  </w:num>
  <w:num w:numId="9" w16cid:durableId="558905598">
    <w:abstractNumId w:val="10"/>
  </w:num>
  <w:num w:numId="10" w16cid:durableId="1831365314">
    <w:abstractNumId w:val="10"/>
  </w:num>
  <w:num w:numId="11" w16cid:durableId="433524454">
    <w:abstractNumId w:val="13"/>
  </w:num>
  <w:num w:numId="12" w16cid:durableId="654721674">
    <w:abstractNumId w:val="26"/>
  </w:num>
  <w:num w:numId="13" w16cid:durableId="834615505">
    <w:abstractNumId w:val="12"/>
  </w:num>
  <w:num w:numId="14" w16cid:durableId="410081786">
    <w:abstractNumId w:val="29"/>
  </w:num>
  <w:num w:numId="15" w16cid:durableId="1244342959">
    <w:abstractNumId w:val="17"/>
  </w:num>
  <w:num w:numId="16" w16cid:durableId="1370959369">
    <w:abstractNumId w:val="15"/>
  </w:num>
  <w:num w:numId="17" w16cid:durableId="283272549">
    <w:abstractNumId w:val="16"/>
  </w:num>
  <w:num w:numId="18" w16cid:durableId="1091511962">
    <w:abstractNumId w:val="18"/>
  </w:num>
  <w:num w:numId="19" w16cid:durableId="2044283213">
    <w:abstractNumId w:val="28"/>
  </w:num>
  <w:num w:numId="20" w16cid:durableId="813251814">
    <w:abstractNumId w:val="25"/>
  </w:num>
  <w:num w:numId="21" w16cid:durableId="2118327794">
    <w:abstractNumId w:val="24"/>
  </w:num>
  <w:num w:numId="22" w16cid:durableId="1639992246">
    <w:abstractNumId w:val="19"/>
  </w:num>
  <w:num w:numId="23" w16cid:durableId="5983596">
    <w:abstractNumId w:val="21"/>
  </w:num>
  <w:num w:numId="24" w16cid:durableId="699546187">
    <w:abstractNumId w:val="20"/>
  </w:num>
  <w:num w:numId="25" w16cid:durableId="1831866390">
    <w:abstractNumId w:val="23"/>
  </w:num>
  <w:num w:numId="26" w16cid:durableId="1171524938">
    <w:abstractNumId w:val="27"/>
  </w:num>
  <w:num w:numId="27" w16cid:durableId="1019740284">
    <w:abstractNumId w:val="9"/>
  </w:num>
  <w:num w:numId="28" w16cid:durableId="520318710">
    <w:abstractNumId w:val="7"/>
  </w:num>
  <w:num w:numId="29" w16cid:durableId="1953780102">
    <w:abstractNumId w:val="6"/>
  </w:num>
  <w:num w:numId="30" w16cid:durableId="1634098910">
    <w:abstractNumId w:val="5"/>
  </w:num>
  <w:num w:numId="31" w16cid:durableId="482428994">
    <w:abstractNumId w:val="4"/>
  </w:num>
  <w:num w:numId="32" w16cid:durableId="978151107">
    <w:abstractNumId w:val="8"/>
  </w:num>
  <w:num w:numId="33" w16cid:durableId="1241063428">
    <w:abstractNumId w:val="3"/>
  </w:num>
  <w:num w:numId="34" w16cid:durableId="171578476">
    <w:abstractNumId w:val="2"/>
  </w:num>
  <w:num w:numId="35" w16cid:durableId="1649288275">
    <w:abstractNumId w:val="1"/>
  </w:num>
  <w:num w:numId="36" w16cid:durableId="2079134331">
    <w:abstractNumId w:val="0"/>
  </w:num>
  <w:num w:numId="37" w16cid:durableId="1232545978">
    <w:abstractNumId w:val="11"/>
  </w:num>
  <w:num w:numId="38" w16cid:durableId="1302613613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17750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17274"/>
    <w:rsid w:val="0012561E"/>
    <w:rsid w:val="001278F5"/>
    <w:rsid w:val="00136823"/>
    <w:rsid w:val="001418C5"/>
    <w:rsid w:val="0014583C"/>
    <w:rsid w:val="00150FB2"/>
    <w:rsid w:val="00151176"/>
    <w:rsid w:val="001535D9"/>
    <w:rsid w:val="00160991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040F"/>
    <w:rsid w:val="001F17D2"/>
    <w:rsid w:val="001F4F66"/>
    <w:rsid w:val="001F769C"/>
    <w:rsid w:val="00201122"/>
    <w:rsid w:val="00204678"/>
    <w:rsid w:val="002046AD"/>
    <w:rsid w:val="00205E7E"/>
    <w:rsid w:val="00217A7E"/>
    <w:rsid w:val="00223C70"/>
    <w:rsid w:val="002323C1"/>
    <w:rsid w:val="0023474F"/>
    <w:rsid w:val="002406B5"/>
    <w:rsid w:val="00241577"/>
    <w:rsid w:val="00243875"/>
    <w:rsid w:val="00244023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00FB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6E35"/>
    <w:rsid w:val="003A705F"/>
    <w:rsid w:val="003B0332"/>
    <w:rsid w:val="003C0D47"/>
    <w:rsid w:val="003C1999"/>
    <w:rsid w:val="003C1EF0"/>
    <w:rsid w:val="003C382C"/>
    <w:rsid w:val="003D0688"/>
    <w:rsid w:val="003D0845"/>
    <w:rsid w:val="003D5BEC"/>
    <w:rsid w:val="003D5DC5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459B7"/>
    <w:rsid w:val="00455455"/>
    <w:rsid w:val="00472E75"/>
    <w:rsid w:val="00476D4B"/>
    <w:rsid w:val="00482CE6"/>
    <w:rsid w:val="00494F24"/>
    <w:rsid w:val="00495AF7"/>
    <w:rsid w:val="004A6F5B"/>
    <w:rsid w:val="004B4FD0"/>
    <w:rsid w:val="004B754D"/>
    <w:rsid w:val="004B7983"/>
    <w:rsid w:val="004C05B0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0E24"/>
    <w:rsid w:val="006618BE"/>
    <w:rsid w:val="00663D0E"/>
    <w:rsid w:val="006649E7"/>
    <w:rsid w:val="00665279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1D79"/>
    <w:rsid w:val="00792E95"/>
    <w:rsid w:val="00796C40"/>
    <w:rsid w:val="007A2EA9"/>
    <w:rsid w:val="007A6A9D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3F95"/>
    <w:rsid w:val="007E4E56"/>
    <w:rsid w:val="007E7A52"/>
    <w:rsid w:val="007F41DA"/>
    <w:rsid w:val="00804DF0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3E1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3A5"/>
    <w:rsid w:val="009E6D4A"/>
    <w:rsid w:val="009F0679"/>
    <w:rsid w:val="009F1331"/>
    <w:rsid w:val="009F2AD7"/>
    <w:rsid w:val="00A00A70"/>
    <w:rsid w:val="00A121CC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0AC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A1E3B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6522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2F99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0D69"/>
    <w:rsid w:val="00E21D5A"/>
    <w:rsid w:val="00E228D5"/>
    <w:rsid w:val="00E37C5E"/>
    <w:rsid w:val="00E43C39"/>
    <w:rsid w:val="00E507C2"/>
    <w:rsid w:val="00E50910"/>
    <w:rsid w:val="00E536A3"/>
    <w:rsid w:val="00E5587F"/>
    <w:rsid w:val="00E56803"/>
    <w:rsid w:val="00E6273B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E7966"/>
    <w:rsid w:val="00EF323F"/>
    <w:rsid w:val="00EF6673"/>
    <w:rsid w:val="00EF7D3D"/>
    <w:rsid w:val="00F04967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11D1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A3231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paragraph" w:styleId="berarbeitung">
    <w:name w:val="Revision"/>
    <w:hidden/>
    <w:uiPriority w:val="99"/>
    <w:semiHidden/>
    <w:rsid w:val="003600F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ED6D40-6B0B-4012-A477-8DC93595E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185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1155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2022-07-19T09:34:00Z</dcterms:created>
  <dcterms:modified xsi:type="dcterms:W3CDTF">2022-07-19T09:34:00Z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