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08D2A98" w:rsidR="004B4FD0" w:rsidRPr="00216638" w:rsidRDefault="00AE67AF" w:rsidP="00216638">
      <w:pPr>
        <w:pStyle w:val="berschrift1"/>
      </w:pPr>
      <w:r>
        <w:t xml:space="preserve">Soluciones</w:t>
      </w:r>
      <w:r>
        <w:br/>
      </w:r>
      <w:r>
        <w:t xml:space="preserve">Modelo 12 – Tornillo de banco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1B5145C6" w14:textId="77777777" w:rsidR="009B3C99" w:rsidRDefault="009B3C99" w:rsidP="009B3C99">
      <w:pPr>
        <w:pStyle w:val="Listenabsatz"/>
        <w:numPr>
          <w:ilvl w:val="0"/>
          <w:numId w:val="0"/>
        </w:numPr>
      </w:pPr>
    </w:p>
    <w:p w14:paraId="1454514B" w14:textId="0B176383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Palanca transversal como último elemento colocado:</w:t>
      </w:r>
    </w:p>
    <w:p w14:paraId="2AFB8116" w14:textId="4885065D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CC7649D" wp14:editId="086BC690">
            <wp:extent cx="3600000" cy="1954581"/>
            <wp:effectExtent l="0" t="0" r="635" b="762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95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E6FE" w14:textId="77777777" w:rsidR="009B3C99" w:rsidRDefault="009B3C99" w:rsidP="00184DD9">
      <w:pPr>
        <w:pStyle w:val="Listenabsatz"/>
        <w:numPr>
          <w:ilvl w:val="0"/>
          <w:numId w:val="0"/>
        </w:numPr>
        <w:ind w:left="720"/>
      </w:pPr>
    </w:p>
    <w:p w14:paraId="1AE864C8" w14:textId="77777777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Eje de refuerzo (indicado en amarillo) y levas de muelle para la seguridad:</w:t>
      </w:r>
    </w:p>
    <w:p w14:paraId="0276F478" w14:textId="0E8B8E8D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29AD289A" wp14:editId="72FB6ED0">
            <wp:extent cx="3600000" cy="2534803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3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EC7DB" w14:textId="77777777" w:rsidR="00184DD9" w:rsidRDefault="00184DD9">
      <w:pPr>
        <w:spacing w:after="0"/>
        <w:jc w:val="left"/>
      </w:pPr>
      <w:r>
        <w:br w:type="page"/>
      </w:r>
    </w:p>
    <w:p w14:paraId="52456089" w14:textId="758FBB49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Para el refuerzo delantero:</w:t>
      </w:r>
    </w:p>
    <w:p w14:paraId="4FCCF5D1" w14:textId="17EE84B7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32D71DB8" wp14:editId="019BF4F0">
            <wp:extent cx="3600000" cy="2705854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0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61468" w14:textId="77777777" w:rsidR="009B3C99" w:rsidRDefault="009B3C99" w:rsidP="00184DD9">
      <w:pPr>
        <w:pStyle w:val="Listenabsatz"/>
        <w:numPr>
          <w:ilvl w:val="0"/>
          <w:numId w:val="0"/>
        </w:numPr>
        <w:ind w:left="720"/>
      </w:pPr>
    </w:p>
    <w:p w14:paraId="1ACD7409" w14:textId="77777777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Conexión transversal a través del soporte del sinfín:</w:t>
      </w:r>
    </w:p>
    <w:p w14:paraId="4EACB29F" w14:textId="4E6BDB6B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57104D8A" wp14:editId="277B835F">
            <wp:extent cx="3600000" cy="2550281"/>
            <wp:effectExtent l="0" t="0" r="635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5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BB1CD" w14:textId="77777777" w:rsidR="00184DD9" w:rsidRDefault="00184DD9">
      <w:pPr>
        <w:spacing w:after="0"/>
        <w:jc w:val="left"/>
      </w:pPr>
      <w:r>
        <w:br w:type="page"/>
      </w:r>
    </w:p>
    <w:p w14:paraId="1C594298" w14:textId="5DA60CF3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Conexión longitudinal a través del tornillo de banco:</w:t>
      </w:r>
    </w:p>
    <w:p w14:paraId="7032A484" w14:textId="77777777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486BA974" wp14:editId="6550AE17">
            <wp:extent cx="3600000" cy="2792371"/>
            <wp:effectExtent l="0" t="0" r="635" b="825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9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57E9E" w14:textId="247679FD" w:rsidR="00184DD9" w:rsidRPr="000E0259" w:rsidRDefault="00184DD9" w:rsidP="00184DD9">
      <w:pPr>
        <w:pStyle w:val="Listenabsatz"/>
        <w:numPr>
          <w:ilvl w:val="0"/>
          <w:numId w:val="0"/>
        </w:numPr>
        <w:ind w:left="720"/>
      </w:pPr>
      <w:r>
        <w:t xml:space="preserve">La desventaja es que ahora no podremos sujetar transversalmente una pieza larga y grande, como una regla ancha.</w: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4D417316" w14:textId="4B29AEE6" w:rsidR="00184DD9" w:rsidRDefault="00184DD9" w:rsidP="00184DD9">
      <w:pPr>
        <w:pStyle w:val="Listenabsatz"/>
        <w:numPr>
          <w:ilvl w:val="0"/>
          <w:numId w:val="47"/>
        </w:numPr>
      </w:pPr>
      <w:r>
        <w:t xml:space="preserve">De este modo es posible, por ejemplo, tensar de manera verdaderamente vertical el eje de fischertechnik que debe sujetarse verticalmente y sostenerlo en esta alineación, incluso si al procesar esta pieza de trabajo tiramos o presionados en todas las direcciones.</w:t>
      </w:r>
    </w:p>
    <w:p w14:paraId="19279495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330F7893" w14:textId="77777777" w:rsidR="004632D7" w:rsidRDefault="00184DD9" w:rsidP="00184DD9">
      <w:pPr>
        <w:pStyle w:val="Listenabsatz"/>
        <w:numPr>
          <w:ilvl w:val="0"/>
          <w:numId w:val="47"/>
        </w:numPr>
      </w:pPr>
      <w:r>
        <w:t xml:space="preserve">En la parte central, la palanca tiene un radio de</w:t>
      </w:r>
    </w:p>
    <w:p w14:paraId="5CC8963C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90 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15 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105</m:t>
              </m:r>
              <m:r>
                <m:rPr>
                  <m:nor/>
                </m:rPr>
                <w:rPr>
                  <w:rFonts w:ascii="Cambria Math" w:hAnsi="Cambria Math"/>
                </w:rPr>
                <m:t>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=50,25</m:t>
          </m:r>
          <m:r>
            <m:rPr>
              <m:nor/>
            </m:rPr>
            <w:rPr>
              <w:rFonts w:ascii="Cambria Math" w:hAnsi="Cambria Math"/>
            </w:rPr>
            <m:t>mm</m:t>
          </m:r>
        </m:oMath>
      </m:oMathPara>
    </w:p>
    <w:p w14:paraId="6700540B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w:r>
        <w:t xml:space="preserve">De este modo, una vuelta tendrá una circunferencia de</w:t>
      </w:r>
    </w:p>
    <w:p w14:paraId="2627DBF6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C=2πr=105</m:t>
          </m:r>
          <m:r>
            <m:rPr>
              <m:nor/>
            </m:rPr>
            <w:rPr>
              <w:rFonts w:ascii="Cambria Math" w:hAnsi="Cambria Math"/>
            </w:rPr>
            <m:t>mm</m:t>
          </m:r>
          <m:r>
            <w:rPr>
              <w:rFonts w:ascii="Cambria Math" w:hAnsi="Cambria Math"/>
            </w:rPr>
            <m:t>∙π</m:t>
          </m:r>
        </m:oMath>
      </m:oMathPara>
    </w:p>
    <w:p w14:paraId="62E8EE41" w14:textId="1E7BE89B" w:rsidR="00184DD9" w:rsidRDefault="00184DD9" w:rsidP="004632D7">
      <w:pPr>
        <w:pStyle w:val="Listenabsatz"/>
        <w:numPr>
          <w:ilvl w:val="0"/>
          <w:numId w:val="0"/>
        </w:numPr>
        <w:ind w:left="720"/>
      </w:pPr>
      <w:r>
        <w:t xml:space="preserve">¡Esto significa que la amplificación de la fuerza es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105</m:t>
            </m:r>
            <m:r>
              <m:rPr>
                <m:nor/>
              </m:rPr>
              <w:rPr>
                <w:rFonts w:ascii="Cambria Math" w:hAnsi="Cambria Math"/>
              </w:rPr>
              <m:t>mm</m:t>
            </m:r>
            <m:r>
              <w:rPr>
                <w:rFonts w:ascii="Cambria Math" w:hAnsi="Cambria Math"/>
              </w:rPr>
              <m:t>∙π</m:t>
            </m:r>
          </m:num>
          <m:den>
            <m:r>
              <w:rPr>
                <w:rFonts w:ascii="Cambria Math" w:hAnsi="Cambria Math"/>
              </w:rPr>
              <m:t>1</m:t>
            </m:r>
            <m:r>
              <m:rPr>
                <m:nor/>
              </m:rPr>
              <w:rPr>
                <w:rFonts w:ascii="Cambria Math" w:hAnsi="Cambria Math"/>
              </w:rPr>
              <m:t>mm</m:t>
            </m:r>
          </m:den>
        </m:f>
        <m:r>
          <w:rPr>
            <w:rFonts w:ascii="Cambria Math" w:hAnsi="Cambria Math"/>
          </w:rPr>
          <m:t>≈330</m:t>
        </m:r>
      </m:oMath>
      <w:r>
        <w:t xml:space="preserve"> veces mayor!</w:t>
      </w:r>
    </w:p>
    <w:p w14:paraId="129738EF" w14:textId="77777777" w:rsidR="009B3C99" w:rsidRDefault="009B3C99" w:rsidP="004632D7">
      <w:pPr>
        <w:pStyle w:val="Listenabsatz"/>
        <w:numPr>
          <w:ilvl w:val="0"/>
          <w:numId w:val="0"/>
        </w:numPr>
        <w:ind w:left="720"/>
      </w:pPr>
    </w:p>
    <w:p w14:paraId="1D091699" w14:textId="77777777" w:rsidR="00184DD9" w:rsidRPr="000E0259" w:rsidRDefault="00184DD9" w:rsidP="00184DD9">
      <w:pPr>
        <w:pStyle w:val="Listenabsatz"/>
        <w:numPr>
          <w:ilvl w:val="0"/>
          <w:numId w:val="47"/>
        </w:numPr>
      </w:pPr>
      <w:r>
        <w:t xml:space="preserve">¡Gracias a que la palanca de accionamiento está desajustada, es posible extenderla por completo en una dirección y obtener, de este modo, casi el doble de largo de la palanca, y así casi el doble de la amplificación de la fuerza!</w:t>
      </w:r>
    </w:p>
    <w:p w14:paraId="11B708A1" w14:textId="77777777" w:rsidR="00184DD9" w:rsidRDefault="00184DD9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60F0D20C" w:rsidR="007B031B" w:rsidRPr="00EA192A" w:rsidRDefault="007B031B" w:rsidP="000E3CC9">
      <w:pPr>
        <w:pStyle w:val="berschrift2"/>
      </w:pPr>
      <w:r>
        <w:t xml:space="preserve">Tarea experimental</w:t>
      </w:r>
    </w:p>
    <w:p w14:paraId="306E6C4B" w14:textId="7B8E3E5E" w:rsidR="009B3C99" w:rsidRDefault="00184DD9" w:rsidP="00184DD9">
      <w:pPr>
        <w:pStyle w:val="Listenabsatz"/>
        <w:numPr>
          <w:ilvl w:val="0"/>
          <w:numId w:val="48"/>
        </w:numPr>
      </w:pPr>
      <w:r>
        <w:t xml:space="preserve">El puntal I conforma un triángulo rectángulo con las vigas angulares, o bien, con el espacio intermedio.</w:t>
      </w:r>
      <w:r>
        <w:t xml:space="preserve"> </w:t>
      </w:r>
      <w:r>
        <w:t xml:space="preserve">Contado en unidades de cuadrícula de 15 mm, tiene una longitud de lado de 4 unidades en la parte inferior y 3 unidades en la superior.</w:t>
      </w:r>
      <w:r>
        <w:t xml:space="preserve"> </w:t>
      </w:r>
      <w:r>
        <w:t xml:space="preserve">Según Pitágoras, la longitud del puntal transversal es de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9+16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25</m:t>
            </m:r>
          </m:e>
        </m:rad>
        <m:r>
          <w:rPr>
            <w:rFonts w:ascii="Cambria Math" w:hAnsi="Cambria Math"/>
          </w:rPr>
          <m:t>=5</m:t>
        </m:r>
      </m:oMath>
      <w:r>
        <w:t xml:space="preserve"> unidades.</w:t>
      </w:r>
      <w:r>
        <w:t xml:space="preserve"> </w:t>
      </w:r>
      <w:r>
        <w:t xml:space="preserve">Esto es </w:t>
      </w:r>
      <w:r>
        <w:rPr>
          <w:i/>
        </w:rPr>
        <w:t xml:space="preserve">exactamente</w:t>
      </w:r>
      <w:r>
        <w:t xml:space="preserve"> así.</w:t>
      </w:r>
      <w:r>
        <w:t xml:space="preserve"> </w:t>
      </w:r>
    </w:p>
    <w:p w14:paraId="271F1F5D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7E8F97A6" w14:textId="1AFB9A68" w:rsidR="00184DD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Es posible demostrar que las raíces cuadradas de los números enteros son siempre enteras o irracionales, pero nunca pueden representarse exactamente por la fracción de dos números enteros.</w:t>
      </w:r>
      <w:r>
        <w:t xml:space="preserve"> </w:t>
      </w:r>
      <w:r>
        <w:t xml:space="preserve">Las combinaciones de números como 3, 4 y 5 en las cuales esto sucede, son la llamada </w:t>
      </w:r>
      <w:r>
        <w:rPr>
          <w:i/>
        </w:rPr>
        <w:t xml:space="preserve">terna numérica pitagórica</w:t>
      </w:r>
      <w:r>
        <w:t xml:space="preserve">.</w:t>
      </w:r>
      <w:r>
        <w:t xml:space="preserve"> </w:t>
      </w:r>
      <w:r>
        <w:t xml:space="preserve">Y 5 unidades de cuadrícula, cada una de 15 mm de largo, dan como resultado 75 mm; por este motivo, el puntal I 75 encaja allí de forma matemáticamente exacta.</w:t>
      </w:r>
    </w:p>
    <w:p w14:paraId="36C78C19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3DA3E358" w14:textId="415F3DCE" w:rsidR="009B3C99" w:rsidRDefault="00184DD9" w:rsidP="00184DD9">
      <w:pPr>
        <w:pStyle w:val="Listenabsatz"/>
        <w:numPr>
          <w:ilvl w:val="0"/>
          <w:numId w:val="48"/>
        </w:numPr>
      </w:pPr>
      <w:r>
        <w:t xml:space="preserve">Dado que ambas vigas angulares en la base se ubican de forma idéntica en bloques angulares de 30°, la distancia entre sus orificios inferiores es de 45 mm (invariable frente a la distancia de los bloques angulares en la placa de construcción).</w:t>
      </w:r>
      <w:r>
        <w:t xml:space="preserve"> </w:t>
      </w:r>
    </w:p>
    <w:p w14:paraId="117D9F69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486ACA43" w14:textId="4BBF3693" w:rsidR="009B3C9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El puntal I con su extremo superior está sujetado exactamente 3 unidades de cuadrícula, es decir, exactamente a 45 mm de distancia del orificio inferior.</w:t>
      </w:r>
      <w:r>
        <w:t xml:space="preserve"> </w:t>
      </w:r>
      <w:r>
        <w:t xml:space="preserve">La línea inferior imaginaria (45 mm horizontal), la viga angular trasera (45 mm de ella) y el puntal I conforman, al menos, un triángulo </w:t>
      </w:r>
      <w:r>
        <w:rPr>
          <w:i/>
        </w:rPr>
        <w:t xml:space="preserve">isósceles</w:t>
      </w:r>
      <w:r>
        <w:t xml:space="preserve"> (los dos lados conocidos hasta ahora tienen el mismo largo de 45 mm).</w:t>
      </w:r>
      <w:r>
        <w:t xml:space="preserve"> </w:t>
      </w:r>
    </w:p>
    <w:p w14:paraId="3F70F8D1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65B9AD32" w14:textId="3D58AEAF" w:rsidR="00184DD9" w:rsidRPr="000E025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A través del bloque angular de 30°, el ángulo de apertura entre la línea inferior imaginaria y la línea de la viga angular es de exactamente 60°.</w:t>
      </w:r>
      <w:r>
        <w:t xml:space="preserve"> </w:t>
      </w:r>
      <w:r>
        <w:t xml:space="preserve">Dado que la suma de los ángulos interiores de un triángulo es siempre 180° y los dos lados conocidos tienen el mismo largo (45 mm), los otros dos ángulos interiores tienen exactamente 60°.</w:t>
      </w:r>
      <w:r>
        <w:t xml:space="preserve"> </w:t>
      </w:r>
      <w:r>
        <w:t xml:space="preserve">Se trata también de un triángulo </w:t>
      </w:r>
      <w:r>
        <w:rPr>
          <w:i/>
        </w:rPr>
        <w:t xml:space="preserve">isósceles</w:t>
      </w:r>
      <w:r>
        <w:t xml:space="preserve">, en el cual los tres lados tienen el mismo largo, es decir, 45 mm.</w:t>
      </w:r>
      <w:r>
        <w:t xml:space="preserve"> </w:t>
      </w:r>
      <w:r>
        <w:t xml:space="preserve">El puntal I 45 tiene el largo necesario matemáticamente exacto.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660D8C96" w:rsidR="009F7A10" w:rsidRPr="00EA192A" w:rsidRDefault="00184DD9" w:rsidP="009D5B2A">
      <w:pPr>
        <w:pStyle w:val="berschrift2"/>
      </w:pPr>
      <w:r>
        <w:t xml:space="preserve">Tornillo de banco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77366538" w14:textId="77777777" w:rsidR="00184DD9" w:rsidRDefault="00184DD9" w:rsidP="00184DD9">
      <w:pPr>
        <w:pStyle w:val="Literatur"/>
        <w:rPr>
          <w:i/>
        </w:rPr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5" w:history="1">
        <w:r>
          <w:rPr>
            <w:rStyle w:val="Hyperlink"/>
            <w:i/>
          </w:rPr>
          <w:t xml:space="preserve">Tornillo de banco</w:t>
        </w:r>
      </w:hyperlink>
      <w:r>
        <w:rPr>
          <w:i/>
        </w:rPr>
        <w:t xml:space="preserve">.</w:t>
      </w:r>
    </w:p>
    <w:p w14:paraId="7CD60F40" w14:textId="77777777" w:rsidR="00184DD9" w:rsidRDefault="00184DD9" w:rsidP="00184DD9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Espiral del sinfín</w:t>
        </w:r>
      </w:hyperlink>
      <w:r>
        <w:rPr>
          <w:i/>
        </w:rPr>
        <w:t xml:space="preserve"> (en alemán).</w:t>
      </w:r>
    </w:p>
    <w:p w14:paraId="3B13F878" w14:textId="77777777" w:rsidR="00184DD9" w:rsidRDefault="00184DD9" w:rsidP="00184DD9">
      <w:pPr>
        <w:pStyle w:val="Literatur"/>
        <w:rPr>
          <w:i/>
        </w:rPr>
      </w:pPr>
      <w:r>
        <w:t xml:space="preserve">[3]</w:t>
      </w:r>
      <w:r>
        <w:tab/>
      </w:r>
      <w:r>
        <w:t xml:space="preserve">Wikipedia:</w:t>
      </w:r>
      <w:r>
        <w:t xml:space="preserve"> </w:t>
      </w:r>
      <w:hyperlink r:id="rId17" w:history="1">
        <w:r>
          <w:rPr>
            <w:rStyle w:val="Hyperlink"/>
            <w:i/>
          </w:rPr>
          <w:t xml:space="preserve">Engranaje con tornillo sinfín</w:t>
        </w:r>
      </w:hyperlink>
      <w:r>
        <w:rPr>
          <w:i/>
        </w:rPr>
        <w:t xml:space="preserve">.</w:t>
      </w:r>
    </w:p>
    <w:p w14:paraId="082FF4EE" w14:textId="77777777" w:rsidR="00184DD9" w:rsidRDefault="00184DD9" w:rsidP="00184DD9">
      <w:pPr>
        <w:pStyle w:val="Literatur"/>
        <w:rPr>
          <w:i/>
        </w:rPr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8" w:history="1">
        <w:r>
          <w:rPr>
            <w:rStyle w:val="Hyperlink"/>
            <w:i/>
          </w:rPr>
          <w:t xml:space="preserve">Módulo (rueda dentada)</w:t>
        </w:r>
      </w:hyperlink>
      <w:r>
        <w:rPr>
          <w:i/>
        </w:rPr>
        <w:t xml:space="preserve"> (en alemán).</w:t>
      </w:r>
    </w:p>
    <w:p w14:paraId="32D40011" w14:textId="77777777" w:rsidR="00184DD9" w:rsidRPr="002B7FFC" w:rsidRDefault="00184DD9" w:rsidP="00184DD9">
      <w:pPr>
        <w:pStyle w:val="Literatur"/>
      </w:pPr>
      <w:r>
        <w:t xml:space="preserve">[5]</w:t>
      </w:r>
      <w:r>
        <w:tab/>
      </w:r>
      <w:r>
        <w:t xml:space="preserve">Thomas Püttmann:</w:t>
      </w:r>
      <w:r>
        <w:t xml:space="preserve"> </w:t>
      </w:r>
      <w:r>
        <w:rPr>
          <w:i/>
        </w:rPr>
        <w:t xml:space="preserve">Zahnräder und Übersetzungen (Teil 2) [Ruedas dentadas y transmisiones (Parte 2)]</w:t>
      </w:r>
      <w:r>
        <w:t xml:space="preserve"> (en alemán).</w:t>
      </w:r>
      <w:r>
        <w:t xml:space="preserve"> </w:t>
      </w:r>
      <w:hyperlink r:id="rId19" w:anchor="page=25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3/2011</w:t>
        </w:r>
      </w:hyperlink>
      <w:r>
        <w:t xml:space="preserve">, págs. 25–28.</w:t>
      </w:r>
    </w:p>
    <w:p w14:paraId="0A134919" w14:textId="77777777" w:rsidR="00184DD9" w:rsidRDefault="00184DD9" w:rsidP="00184DD9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20" w:history="1">
        <w:r>
          <w:rPr>
            <w:rStyle w:val="Hyperlink"/>
            <w:i/>
          </w:rPr>
          <w:t xml:space="preserve">Pitágoras</w:t>
        </w:r>
      </w:hyperlink>
      <w:r>
        <w:t xml:space="preserve">.</w:t>
      </w:r>
    </w:p>
    <w:p w14:paraId="20E7EB0C" w14:textId="77777777" w:rsidR="00184DD9" w:rsidRDefault="00184DD9" w:rsidP="00184DD9">
      <w:pPr>
        <w:pStyle w:val="Literatur"/>
        <w:rPr>
          <w:i/>
        </w:rPr>
      </w:pPr>
      <w:r>
        <w:t xml:space="preserve">[7]</w:t>
      </w:r>
      <w:r>
        <w:tab/>
      </w:r>
      <w:r>
        <w:t xml:space="preserve">Wikipedia:</w:t>
      </w:r>
      <w:r>
        <w:t xml:space="preserve"> </w:t>
      </w:r>
      <w:hyperlink r:id="rId21" w:anchor="Mathematik" w:history="1">
        <w:r>
          <w:rPr>
            <w:rStyle w:val="Hyperlink"/>
            <w:i/>
          </w:rPr>
          <w:t xml:space="preserve">Teorema de Pitágoras</w:t>
        </w:r>
      </w:hyperlink>
      <w:r>
        <w:rPr>
          <w:i/>
        </w:rPr>
        <w:t xml:space="preserve">.</w:t>
      </w:r>
    </w:p>
    <w:p w14:paraId="7C30F037" w14:textId="77777777" w:rsidR="00184DD9" w:rsidRDefault="00184DD9" w:rsidP="00184DD9">
      <w:pPr>
        <w:pStyle w:val="Literatur"/>
      </w:pPr>
      <w:r>
        <w:t xml:space="preserve">[8]</w:t>
      </w:r>
      <w:r>
        <w:tab/>
      </w:r>
      <w:r>
        <w:t xml:space="preserve">Duden Learnattack GmbH:</w:t>
      </w:r>
      <w:r>
        <w:rPr>
          <w:i/>
        </w:rPr>
        <w:t xml:space="preserve"> </w:t>
      </w:r>
      <w:r>
        <w:rPr>
          <w:i/>
        </w:rPr>
        <w:t xml:space="preserve">Pythagoreische Zahlentripel [Terna numérica pitagórica].</w:t>
      </w:r>
      <w:r>
        <w:t xml:space="preserve"> </w:t>
      </w:r>
      <w:r>
        <w:t xml:space="preserve">En </w:t>
      </w:r>
      <w:hyperlink r:id="rId22" w:history="1">
        <w:r>
          <w:rPr>
            <w:rStyle w:val="Hyperlink"/>
            <w:i/>
          </w:rPr>
          <w:t xml:space="preserve">lernhelfer.de</w:t>
        </w:r>
      </w:hyperlink>
      <w:r>
        <w:t xml:space="preserve"> (en alemán).</w:t>
      </w:r>
    </w:p>
    <w:p w14:paraId="7C7C6B68" w14:textId="77777777" w:rsidR="00184DD9" w:rsidRPr="00414025" w:rsidRDefault="00184DD9" w:rsidP="00184DD9">
      <w:pPr>
        <w:pStyle w:val="Literatur"/>
        <w:rPr>
          <w:i/>
        </w:rPr>
      </w:pPr>
      <w:r>
        <w:t xml:space="preserve">[9]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23" w:history="1">
        <w:r>
          <w:rPr>
            <w:rStyle w:val="Hyperlink"/>
            <w:i/>
          </w:rPr>
          <w:t xml:space="preserve">Terna pitagórica</w:t>
        </w:r>
      </w:hyperlink>
      <w:r>
        <w:rPr>
          <w:i/>
        </w:rPr>
        <w:t xml:space="preserve">.</w:t>
      </w:r>
    </w:p>
    <w:sectPr w:rsidR="00184DD9" w:rsidRPr="00414025" w:rsidSect="00E9682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8AC2" w14:textId="77777777" w:rsidR="00346E48" w:rsidRDefault="00346E48">
      <w:r>
        <w:separator/>
      </w:r>
    </w:p>
  </w:endnote>
  <w:endnote w:type="continuationSeparator" w:id="0">
    <w:p w14:paraId="7817E8C8" w14:textId="77777777" w:rsidR="00346E48" w:rsidRDefault="0034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7D08" w14:textId="77777777" w:rsidR="00AA4656" w:rsidRDefault="00AA46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DBCE" w14:textId="77777777" w:rsidR="00346E48" w:rsidRDefault="00346E48">
      <w:r>
        <w:separator/>
      </w:r>
    </w:p>
  </w:footnote>
  <w:footnote w:type="continuationSeparator" w:id="0">
    <w:p w14:paraId="008CDD71" w14:textId="77777777" w:rsidR="00346E48" w:rsidRDefault="0034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6047B11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C9A8" w14:textId="77777777" w:rsidR="00AA4656" w:rsidRDefault="00AA46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2145E9"/>
    <w:multiLevelType w:val="hybridMultilevel"/>
    <w:tmpl w:val="09765F24"/>
    <w:lvl w:ilvl="0" w:tplc="6A7A4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EFE2AE5"/>
    <w:multiLevelType w:val="hybridMultilevel"/>
    <w:tmpl w:val="2BF80EFE"/>
    <w:lvl w:ilvl="0" w:tplc="7C1CC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00D2"/>
    <w:multiLevelType w:val="hybridMultilevel"/>
    <w:tmpl w:val="AF7EE0F4"/>
    <w:lvl w:ilvl="0" w:tplc="13BC8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48586">
    <w:abstractNumId w:val="25"/>
  </w:num>
  <w:num w:numId="2" w16cid:durableId="1383485847">
    <w:abstractNumId w:val="10"/>
  </w:num>
  <w:num w:numId="3" w16cid:durableId="1924484083">
    <w:abstractNumId w:val="10"/>
  </w:num>
  <w:num w:numId="4" w16cid:durableId="1799183746">
    <w:abstractNumId w:val="10"/>
  </w:num>
  <w:num w:numId="5" w16cid:durableId="986319680">
    <w:abstractNumId w:val="10"/>
  </w:num>
  <w:num w:numId="6" w16cid:durableId="987393756">
    <w:abstractNumId w:val="10"/>
  </w:num>
  <w:num w:numId="7" w16cid:durableId="1659070287">
    <w:abstractNumId w:val="10"/>
  </w:num>
  <w:num w:numId="8" w16cid:durableId="1022052732">
    <w:abstractNumId w:val="10"/>
  </w:num>
  <w:num w:numId="9" w16cid:durableId="1557817210">
    <w:abstractNumId w:val="10"/>
  </w:num>
  <w:num w:numId="10" w16cid:durableId="1848475265">
    <w:abstractNumId w:val="10"/>
  </w:num>
  <w:num w:numId="11" w16cid:durableId="911964632">
    <w:abstractNumId w:val="14"/>
  </w:num>
  <w:num w:numId="12" w16cid:durableId="1961498966">
    <w:abstractNumId w:val="33"/>
  </w:num>
  <w:num w:numId="13" w16cid:durableId="1629780106">
    <w:abstractNumId w:val="13"/>
  </w:num>
  <w:num w:numId="14" w16cid:durableId="1476920464">
    <w:abstractNumId w:val="39"/>
  </w:num>
  <w:num w:numId="15" w16cid:durableId="1779790500">
    <w:abstractNumId w:val="18"/>
  </w:num>
  <w:num w:numId="16" w16cid:durableId="170918886">
    <w:abstractNumId w:val="16"/>
  </w:num>
  <w:num w:numId="17" w16cid:durableId="844979906">
    <w:abstractNumId w:val="17"/>
  </w:num>
  <w:num w:numId="18" w16cid:durableId="1891842444">
    <w:abstractNumId w:val="19"/>
  </w:num>
  <w:num w:numId="19" w16cid:durableId="456145080">
    <w:abstractNumId w:val="38"/>
  </w:num>
  <w:num w:numId="20" w16cid:durableId="1876234268">
    <w:abstractNumId w:val="30"/>
  </w:num>
  <w:num w:numId="21" w16cid:durableId="1753231629">
    <w:abstractNumId w:val="27"/>
  </w:num>
  <w:num w:numId="22" w16cid:durableId="2108571063">
    <w:abstractNumId w:val="20"/>
  </w:num>
  <w:num w:numId="23" w16cid:durableId="144467716">
    <w:abstractNumId w:val="22"/>
  </w:num>
  <w:num w:numId="24" w16cid:durableId="581329870">
    <w:abstractNumId w:val="21"/>
  </w:num>
  <w:num w:numId="25" w16cid:durableId="918759436">
    <w:abstractNumId w:val="26"/>
  </w:num>
  <w:num w:numId="26" w16cid:durableId="1499419201">
    <w:abstractNumId w:val="37"/>
  </w:num>
  <w:num w:numId="27" w16cid:durableId="1301039200">
    <w:abstractNumId w:val="9"/>
  </w:num>
  <w:num w:numId="28" w16cid:durableId="575627584">
    <w:abstractNumId w:val="7"/>
  </w:num>
  <w:num w:numId="29" w16cid:durableId="1041630831">
    <w:abstractNumId w:val="6"/>
  </w:num>
  <w:num w:numId="30" w16cid:durableId="1654529055">
    <w:abstractNumId w:val="5"/>
  </w:num>
  <w:num w:numId="31" w16cid:durableId="252322675">
    <w:abstractNumId w:val="4"/>
  </w:num>
  <w:num w:numId="32" w16cid:durableId="2063602480">
    <w:abstractNumId w:val="8"/>
  </w:num>
  <w:num w:numId="33" w16cid:durableId="1528372928">
    <w:abstractNumId w:val="3"/>
  </w:num>
  <w:num w:numId="34" w16cid:durableId="916790298">
    <w:abstractNumId w:val="2"/>
  </w:num>
  <w:num w:numId="35" w16cid:durableId="1271741631">
    <w:abstractNumId w:val="1"/>
  </w:num>
  <w:num w:numId="36" w16cid:durableId="1241868774">
    <w:abstractNumId w:val="0"/>
  </w:num>
  <w:num w:numId="37" w16cid:durableId="586497622">
    <w:abstractNumId w:val="12"/>
  </w:num>
  <w:num w:numId="38" w16cid:durableId="7567263">
    <w:abstractNumId w:val="23"/>
  </w:num>
  <w:num w:numId="39" w16cid:durableId="903638264">
    <w:abstractNumId w:val="31"/>
  </w:num>
  <w:num w:numId="40" w16cid:durableId="2106535885">
    <w:abstractNumId w:val="35"/>
  </w:num>
  <w:num w:numId="41" w16cid:durableId="503789866">
    <w:abstractNumId w:val="32"/>
  </w:num>
  <w:num w:numId="42" w16cid:durableId="564879418">
    <w:abstractNumId w:val="11"/>
  </w:num>
  <w:num w:numId="43" w16cid:durableId="506484546">
    <w:abstractNumId w:val="29"/>
  </w:num>
  <w:num w:numId="44" w16cid:durableId="1429960392">
    <w:abstractNumId w:val="34"/>
  </w:num>
  <w:num w:numId="45" w16cid:durableId="1275746919">
    <w:abstractNumId w:val="24"/>
  </w:num>
  <w:num w:numId="46" w16cid:durableId="883250089">
    <w:abstractNumId w:val="15"/>
  </w:num>
  <w:num w:numId="47" w16cid:durableId="42146919">
    <w:abstractNumId w:val="36"/>
  </w:num>
  <w:num w:numId="48" w16cid:durableId="715543676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673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84DD9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46E48"/>
    <w:rsid w:val="0035076B"/>
    <w:rsid w:val="003516C2"/>
    <w:rsid w:val="0035785D"/>
    <w:rsid w:val="003612D5"/>
    <w:rsid w:val="003631EE"/>
    <w:rsid w:val="0036332F"/>
    <w:rsid w:val="00363EE2"/>
    <w:rsid w:val="003740D7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32D7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48D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0DCB"/>
    <w:rsid w:val="006A32D0"/>
    <w:rsid w:val="006A42A6"/>
    <w:rsid w:val="006B181A"/>
    <w:rsid w:val="006B5425"/>
    <w:rsid w:val="006C14DA"/>
    <w:rsid w:val="006C41F8"/>
    <w:rsid w:val="006D19A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5091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26E"/>
    <w:rsid w:val="00946EE1"/>
    <w:rsid w:val="00952B09"/>
    <w:rsid w:val="00965E72"/>
    <w:rsid w:val="00981433"/>
    <w:rsid w:val="00981AA1"/>
    <w:rsid w:val="00981D89"/>
    <w:rsid w:val="0098265E"/>
    <w:rsid w:val="00986221"/>
    <w:rsid w:val="00987731"/>
    <w:rsid w:val="00994A3A"/>
    <w:rsid w:val="00994BF9"/>
    <w:rsid w:val="009972A6"/>
    <w:rsid w:val="009A25AA"/>
    <w:rsid w:val="009A4747"/>
    <w:rsid w:val="009A6161"/>
    <w:rsid w:val="009B3C99"/>
    <w:rsid w:val="009C354D"/>
    <w:rsid w:val="009C52DC"/>
    <w:rsid w:val="009C68DF"/>
    <w:rsid w:val="009C6B9D"/>
    <w:rsid w:val="009C7355"/>
    <w:rsid w:val="009C75AA"/>
    <w:rsid w:val="009D00FE"/>
    <w:rsid w:val="009D02A0"/>
    <w:rsid w:val="009D1CAB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A4656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9D1CAB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de.wikipedia.org/wiki/Modul_(Zahnrad)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es.wikipedia.org/wiki/Pit&#225;goras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es.wikipedia.org/wiki/Tornillo_sin_fin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Schneckengang" TargetMode="External"/><Relationship Id="rId20" Type="http://schemas.openxmlformats.org/officeDocument/2006/relationships/hyperlink" Target="https://es.wikipedia.org/wiki/Pit&#225;goras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s.wikipedia.org/wiki/Tornillo_de_banco" TargetMode="External"/><Relationship Id="rId23" Type="http://schemas.openxmlformats.org/officeDocument/2006/relationships/hyperlink" Target="https://es.wikipedia.org/wiki/Terna_pitag&#243;rica" TargetMode="External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yperlink" Target="https://ftcommunity.de/ftpedia/2011/2011-3/ftpedia-2011-3.pdf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yperlink" Target="https://www.lernhelfer.de/schuelerlexikon/mathematik/artikel/pythagoreische-zahlentripe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51378-A6BA-4854-936D-A191BB553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468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4032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3</cp:revision>
  <cp:lastPrinted>2021-08-19T17:10:00Z</cp:lastPrinted>
  <dcterms:created xsi:type="dcterms:W3CDTF">2022-07-21T09:33:00Z</dcterms:created>
  <dcterms:modified xsi:type="dcterms:W3CDTF">2022-07-21T09:33:00Z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