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6B2F0" w14:textId="77777777"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Nombre: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Clase:</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Fecha:</w:t>
      </w:r>
      <w:r>
        <w:rPr>
          <w:sz w:val="28"/>
          <w:rFonts w:ascii="Comic Sans MS" w:hAnsi="Comic Sans MS"/>
        </w:rPr>
        <w:t xml:space="preserve"> </w:t>
      </w:r>
      <w:r>
        <w:rPr>
          <w:sz w:val="28"/>
          <w:rFonts w:ascii="Comic Sans MS" w:hAnsi="Comic Sans MS"/>
        </w:rPr>
        <w:t xml:space="preserve">________</w:t>
      </w:r>
    </w:p>
    <w:p w14:paraId="2A69D7C4" w14:textId="1C96239F" w:rsidR="004B4FD0" w:rsidRPr="00216638" w:rsidRDefault="00B52DCC" w:rsidP="00216638">
      <w:pPr>
        <w:pStyle w:val="berschrift1"/>
      </w:pPr>
      <w:r>
        <w:t xml:space="preserve">Modelo 12 – Tornillo de banco</w:t>
      </w:r>
    </w:p>
    <w:p w14:paraId="39873A58" w14:textId="77777777" w:rsidR="007A7500" w:rsidRPr="00A57CDC" w:rsidRDefault="00AE70E5" w:rsidP="00216638">
      <w:pPr>
        <w:pStyle w:val="berschrift2"/>
      </w:pPr>
      <w:r>
        <w:t xml:space="preserve">Tarea de construcción</w:t>
      </w:r>
    </w:p>
    <w:p w14:paraId="060E42AB" w14:textId="15FC63A9" w:rsidR="002118D4" w:rsidRDefault="002118D4" w:rsidP="002118D4">
      <w:r>
        <w:t xml:space="preserve">Un tornillo de banco sirve para tensar y sujetar una pieza de trabajo a fin de poder procesarla (por ejemplo, limarla) y, al hacerlo, tener las manos libres.</w:t>
      </w:r>
      <w:r>
        <w:t xml:space="preserve"> </w:t>
      </w:r>
      <w:r>
        <w:t xml:space="preserve">Los tornillos de banco están, por lo general, compuestos de piezas metálicas sólidas y correspondientemente pesadas y estables.</w:t>
      </w:r>
      <w:r>
        <w:t xml:space="preserve"> </w:t>
      </w:r>
      <w:r>
        <w:t xml:space="preserve">Además, suelen estar fijos a un banco de trabajo o a una mesa.</w:t>
      </w:r>
    </w:p>
    <w:p w14:paraId="1743C429" w14:textId="64D431BE" w:rsidR="002118D4" w:rsidRDefault="002118D4" w:rsidP="002118D4">
      <w:pPr>
        <w:pStyle w:val="Listenabsatz"/>
        <w:numPr>
          <w:ilvl w:val="0"/>
          <w:numId w:val="0"/>
        </w:numPr>
        <w:ind w:left="720"/>
      </w:pPr>
      <w:r>
        <w:t xml:space="preserve">Monta el modelo de acuerdo con el manual de instrucciones, pero, en primer lugar, solo hasta la palanca colocada transversalmente, desde la cual es posible girar con fuerza.</w:t>
      </w:r>
      <w:r>
        <w:t xml:space="preserve"> </w:t>
      </w:r>
      <w:r>
        <w:t xml:space="preserve">Deja a un lado todos los demás refuerzos.</w:t>
      </w:r>
      <w:r>
        <w:t xml:space="preserve"> </w:t>
      </w:r>
      <w:r>
        <w:t xml:space="preserve">Tensa un pasador o un eje de fischertechnik de manera vertical.</w:t>
      </w:r>
      <w:r>
        <w:t xml:space="preserve"> </w:t>
      </w:r>
      <w:r>
        <w:t xml:space="preserve">Gira la palanca de giro en el sentido de las agujas del reloj hasta que ambas «mordazas» del tornillo de banco tensen la pieza de trabajo.</w:t>
      </w:r>
      <w:r>
        <w:t xml:space="preserve"> </w:t>
      </w:r>
      <w:r>
        <w:t xml:space="preserve">Observa cómo el modelo se dobla, debemos hacer algo para evitarlo.</w:t>
      </w:r>
    </w:p>
    <w:p w14:paraId="0D307C3F" w14:textId="5098CDDD" w:rsidR="002118D4" w:rsidRDefault="002118D4" w:rsidP="002118D4">
      <w:pPr>
        <w:pStyle w:val="Listenabsatz"/>
        <w:numPr>
          <w:ilvl w:val="0"/>
          <w:numId w:val="46"/>
        </w:numPr>
      </w:pPr>
      <w:r>
        <w:t xml:space="preserve">Completa las siguientes etapas de construcción a modo de refuerzo:</w:t>
      </w:r>
      <w:r>
        <w:t xml:space="preserve"> </w:t>
      </w:r>
      <w:r>
        <w:t xml:space="preserve">El eje metálico que se introduce en el componente en la parte trasera del tornillo de banco evitará que la fila de componentes se doble.</w:t>
      </w:r>
      <w:r>
        <w:t xml:space="preserve"> </w:t>
      </w:r>
      <w:r>
        <w:t xml:space="preserve">Para que el eje no se caiga, se debe asegurar por ambos lados con levas de muelle.</w:t>
      </w:r>
    </w:p>
    <w:p w14:paraId="5659574B" w14:textId="4AC5468D" w:rsidR="002118D4" w:rsidRDefault="002118D4" w:rsidP="002118D4">
      <w:pPr>
        <w:pStyle w:val="Listenabsatz"/>
        <w:numPr>
          <w:ilvl w:val="0"/>
          <w:numId w:val="0"/>
        </w:numPr>
        <w:ind w:left="720"/>
      </w:pPr>
      <w:r>
        <w:t xml:space="preserve">Ahora vuelve a tensar una pieza de trabajo.</w:t>
      </w:r>
      <w:r>
        <w:t xml:space="preserve"> </w:t>
      </w:r>
      <w:r>
        <w:t xml:space="preserve">La pared trasera se doblará mucho menos, pero el soporte del tornillo sinfín en la parte delantera se continuará doblando.</w:t>
      </w:r>
    </w:p>
    <w:p w14:paraId="4A075B41" w14:textId="59FC4B8F" w:rsidR="002118D4" w:rsidRDefault="002118D4" w:rsidP="002118D4">
      <w:pPr>
        <w:pStyle w:val="Listenabsatz"/>
        <w:numPr>
          <w:ilvl w:val="0"/>
          <w:numId w:val="46"/>
        </w:numPr>
      </w:pPr>
      <w:r>
        <w:t xml:space="preserve">En la siguiente etapa de construcción, coloca las dos piezas de conexión 30 de color rojo.</w:t>
      </w:r>
    </w:p>
    <w:p w14:paraId="3141802A" w14:textId="7ECBADC7" w:rsidR="002118D4" w:rsidRDefault="002118D4" w:rsidP="002118D4">
      <w:pPr>
        <w:pStyle w:val="Listenabsatz"/>
        <w:numPr>
          <w:ilvl w:val="0"/>
          <w:numId w:val="0"/>
        </w:numPr>
        <w:ind w:left="720"/>
      </w:pPr>
      <w:r>
        <w:t xml:space="preserve">Vuelve a probar el tornillo de banco.</w:t>
      </w:r>
      <w:r>
        <w:t xml:space="preserve"> </w:t>
      </w:r>
      <w:r>
        <w:t xml:space="preserve">Los dos componentes sostenidos por las piezas de conexión ya no se doblan tanto.</w:t>
      </w:r>
      <w:r>
        <w:t xml:space="preserve"> </w:t>
      </w:r>
      <w:r>
        <w:t xml:space="preserve">Aun así, el soporte del tornillo sinfín debe continuar soportando grandes fuerzas y la parte delantera se continúa doblando.</w:t>
      </w:r>
    </w:p>
    <w:p w14:paraId="2697BC96" w14:textId="77777777" w:rsidR="002118D4" w:rsidRDefault="002118D4" w:rsidP="002118D4">
      <w:pPr>
        <w:pStyle w:val="Listenabsatz"/>
        <w:numPr>
          <w:ilvl w:val="0"/>
          <w:numId w:val="46"/>
        </w:numPr>
      </w:pPr>
      <w:r>
        <w:t xml:space="preserve">Por lo tanto, en la siguiente etapa de construcción montamos la conexión transversal sobre el soporte del sinfín.</w:t>
      </w:r>
    </w:p>
    <w:p w14:paraId="4F0C11CA" w14:textId="6887D15C" w:rsidR="002118D4" w:rsidRDefault="002118D4" w:rsidP="002118D4">
      <w:pPr>
        <w:pStyle w:val="Listenabsatz"/>
        <w:numPr>
          <w:ilvl w:val="0"/>
          <w:numId w:val="0"/>
        </w:numPr>
        <w:ind w:left="720"/>
      </w:pPr>
      <w:r>
        <w:t xml:space="preserve">¿Ahora funciona mucho mejor, no?</w:t>
      </w:r>
      <w:r>
        <w:t xml:space="preserve"> </w:t>
      </w:r>
      <w:r>
        <w:t xml:space="preserve">No obstante, continúan siendo piezas de plástico y no sólidos componentes de hierro.</w:t>
      </w:r>
      <w:r>
        <w:t xml:space="preserve"> </w:t>
      </w:r>
      <w:r>
        <w:t xml:space="preserve">Toda la estructura se puede doblar con la fuerza de sujeción suficiente.</w:t>
      </w:r>
    </w:p>
    <w:p w14:paraId="2AF2F65F" w14:textId="77777777" w:rsidR="002118D4" w:rsidRDefault="002118D4" w:rsidP="002118D4">
      <w:pPr>
        <w:pStyle w:val="Listenabsatz"/>
        <w:numPr>
          <w:ilvl w:val="0"/>
          <w:numId w:val="46"/>
        </w:numPr>
      </w:pPr>
      <w:r>
        <w:t xml:space="preserve">Podemos mejorar esto con la siguiente etapa, en la que también mantenemos unidas la parte delantera y trasera por la parte superior, por encima de las mordazas.</w:t>
      </w:r>
    </w:p>
    <w:p w14:paraId="0A2623F3" w14:textId="4CAE4CB0" w:rsidR="002118D4" w:rsidRPr="000E0259" w:rsidRDefault="002118D4" w:rsidP="002118D4">
      <w:pPr>
        <w:pStyle w:val="Listenabsatz"/>
        <w:numPr>
          <w:ilvl w:val="0"/>
          <w:numId w:val="0"/>
        </w:numPr>
        <w:ind w:left="720"/>
      </w:pPr>
      <w:r>
        <w:t xml:space="preserve">Ahora la estructura está estable.</w:t>
      </w:r>
      <w:r>
        <w:t xml:space="preserve"> </w:t>
      </w:r>
      <w:r>
        <w:t xml:space="preserve">No obstante, con este último refuerzo también hemos generado una desventaja y quizás hayamos exagerado un poco.</w:t>
      </w:r>
      <w:r>
        <w:t xml:space="preserve"> </w:t>
      </w:r>
      <w:r>
        <w:t xml:space="preserve">¿Cuál es la desventaja?</w:t>
      </w:r>
    </w:p>
    <w:p w14:paraId="7BFCEF52" w14:textId="30143E4B" w:rsidR="00F11ECD" w:rsidRDefault="00EA192A" w:rsidP="009D5B2A">
      <w:pPr>
        <w:pStyle w:val="berschrift2"/>
      </w:pPr>
      <w:r>
        <w:t xml:space="preserve">Tarea temática</w:t>
      </w:r>
    </w:p>
    <w:p w14:paraId="2B88A77C" w14:textId="3D69F6F0" w:rsidR="002118D4" w:rsidRDefault="002118D4" w:rsidP="002118D4">
      <w:pPr>
        <w:pStyle w:val="Listenabsatz"/>
        <w:numPr>
          <w:ilvl w:val="0"/>
          <w:numId w:val="48"/>
        </w:numPr>
      </w:pPr>
      <w:r>
        <w:t xml:space="preserve">¿Para qué sirve la pequeña ranura que se ha dejado de forma intencional entre ambas «mordazas de montaje» en la parte trasera del tornillo de banco (en los tornillos de banco reales también hay este tipo de ranura por el mismo motivo)?</w:t>
      </w:r>
    </w:p>
    <w:p w14:paraId="2533298F" w14:textId="7A04EEF3" w:rsidR="002118D4" w:rsidRDefault="002118D4" w:rsidP="002118D4">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348E0116" w14:textId="77777777" w:rsidR="002118D4" w:rsidRDefault="002118D4" w:rsidP="002118D4">
      <w:pPr>
        <w:pStyle w:val="Listenabsatz"/>
        <w:numPr>
          <w:ilvl w:val="0"/>
          <w:numId w:val="48"/>
        </w:numPr>
      </w:pPr>
      <w:r>
        <w:t xml:space="preserve">Calculemos qué tan grande es la amplificación de fuerza que nos ofrece el tornillo de banco.</w:t>
      </w:r>
      <w:r>
        <w:t xml:space="preserve"> </w:t>
      </w:r>
      <w:r>
        <w:t xml:space="preserve">¿Con cuánta fuerza se tensa la pieza de trabajo cuando giramos con una determinada fuerza exterior en la palanca?</w:t>
      </w:r>
      <w:r>
        <w:t xml:space="preserve"> </w:t>
      </w:r>
      <w:r>
        <w:t xml:space="preserve">Para esto, un par de medidas:</w:t>
      </w:r>
    </w:p>
    <w:p w14:paraId="46CC75F2" w14:textId="77777777" w:rsidR="002118D4" w:rsidRDefault="002118D4" w:rsidP="002118D4">
      <w:pPr>
        <w:pStyle w:val="Listenabsatz"/>
        <w:numPr>
          <w:ilvl w:val="1"/>
          <w:numId w:val="47"/>
        </w:numPr>
      </w:pPr>
      <w:r>
        <w:t xml:space="preserve">El «módulo» del tornillo sinfín y del componente del tornillo sinfín en el cual se encuentra es su recorrido en un giro.</w:t>
      </w:r>
      <w:r>
        <w:t xml:space="preserve"> </w:t>
      </w:r>
      <w:r>
        <w:t xml:space="preserve">En este tornillo sinfín negro de fischertechnik es de 1 mm.</w:t>
      </w:r>
    </w:p>
    <w:p w14:paraId="2CD58D4C" w14:textId="77777777" w:rsidR="002118D4" w:rsidRDefault="002118D4" w:rsidP="002118D4">
      <w:pPr>
        <w:pStyle w:val="Listenabsatz"/>
        <w:numPr>
          <w:ilvl w:val="1"/>
          <w:numId w:val="47"/>
        </w:numPr>
      </w:pPr>
      <w:r>
        <w:t xml:space="preserve">El puntal transversal es un puntal I 90.</w:t>
      </w:r>
      <w:r>
        <w:t xml:space="preserve"> </w:t>
      </w:r>
      <w:r>
        <w:t xml:space="preserve">Este mide 90 mm de largo de extremo a extremo.</w:t>
      </w:r>
    </w:p>
    <w:p w14:paraId="179A61EC" w14:textId="3CB9E4D6" w:rsidR="002118D4" w:rsidRDefault="002118D4" w:rsidP="002118D4">
      <w:pPr>
        <w:pStyle w:val="Listenabsatz"/>
        <w:numPr>
          <w:ilvl w:val="1"/>
          <w:numId w:val="47"/>
        </w:numPr>
      </w:pPr>
      <w:r>
        <w:t xml:space="preserve">En él se insertan hasta la mitad los dos acoplamientos de encastre.</w:t>
      </w:r>
      <w:r>
        <w:t xml:space="preserve"> </w:t>
      </w:r>
      <w:r>
        <w:t xml:space="preserve">Estos miden 15 mm de largo cada uno.</w:t>
      </w:r>
    </w:p>
    <w:p w14:paraId="596CA2BE" w14:textId="5864C493" w:rsidR="002118D4" w:rsidRDefault="002118D4" w:rsidP="002118D4">
      <w:pPr>
        <w:ind w:left="709"/>
      </w:pPr>
      <w:r>
        <w:t xml:space="preserve">Cuando la palanca tensada transversalmente se encuentra en el centro, ¿de qué tamaño es la relación del recorrido que describe el extremo exterior de una mitad de la palanca en un giro completo hasta la carrera del tornillo sinfín con un giro?</w:t>
      </w:r>
      <w:r>
        <w:t xml:space="preserve"> </w:t>
      </w:r>
      <w:r>
        <w:t xml:space="preserve">Exceptuando las pérdidas por fricción, este es también el factor por el que la fuerza de la sujeción es mayor que la fuerza con la que se tira de (una) mitad de la palanca de accionamiento.</w:t>
      </w:r>
    </w:p>
    <w:p w14:paraId="649DACFB" w14:textId="04E5ED44" w:rsidR="002118D4" w:rsidRDefault="002118D4" w:rsidP="002118D4">
      <w:pPr>
        <w:ind w:left="709"/>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7EFE1E1F" w14:textId="03CBFDEF" w:rsidR="002118D4" w:rsidRDefault="002118D4" w:rsidP="002118D4">
      <w:pPr>
        <w:pStyle w:val="Listenabsatz"/>
        <w:numPr>
          <w:ilvl w:val="0"/>
          <w:numId w:val="48"/>
        </w:numPr>
      </w:pPr>
      <w:r>
        <w:t xml:space="preserve">En un tornillo de banco real, la palanca de accionamiento se encuentra totalmente suelta y fácil de desplazar en el eje de giro del tornillo sinfín.</w:t>
      </w:r>
      <w:r>
        <w:t xml:space="preserve"> </w:t>
      </w:r>
      <w:r>
        <w:t xml:space="preserve">Esto le permite hacer algo para continuar aumentado la fuerza de tensión.</w:t>
      </w:r>
      <w:r>
        <w:t xml:space="preserve"> </w:t>
      </w:r>
      <w:r>
        <w:t xml:space="preserve">¿Qué?</w:t>
      </w:r>
    </w:p>
    <w:p w14:paraId="43D95E17" w14:textId="4665BDA8" w:rsidR="002118D4" w:rsidRPr="000E0259" w:rsidRDefault="002118D4" w:rsidP="002118D4">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31760DDB" w14:textId="77777777" w:rsidR="007B031B" w:rsidRPr="00EA192A" w:rsidRDefault="007B031B" w:rsidP="000E3CC9">
      <w:pPr>
        <w:pStyle w:val="berschrift2"/>
      </w:pPr>
      <w:r>
        <w:t xml:space="preserve">Tarea experimental</w:t>
      </w:r>
    </w:p>
    <w:p w14:paraId="2BF82B9F" w14:textId="77777777" w:rsidR="002118D4" w:rsidRDefault="002118D4" w:rsidP="002118D4">
      <w:r>
        <w:t xml:space="preserve">¿Qué tal dos pequeños acertijos?</w:t>
      </w:r>
    </w:p>
    <w:p w14:paraId="6AAE361F" w14:textId="2D5E2D29" w:rsidR="002118D4" w:rsidRDefault="002118D4" w:rsidP="002118D4">
      <w:r>
        <w:t xml:space="preserve">En fischertechnik, los puntales I sirven para ser colocados en dirección longitudinal sobre componentes de construcción como vigas estáticas.</w:t>
      </w:r>
      <w:r>
        <w:t xml:space="preserve"> </w:t>
      </w:r>
      <w:r>
        <w:t xml:space="preserve">La medida de encastre de fischertechnik es de 15 mm.</w:t>
      </w:r>
      <w:r>
        <w:t xml:space="preserve"> </w:t>
      </w:r>
      <w:r>
        <w:t xml:space="preserve">Esta es, por ejemplo, la distancia entre dos orificios en las vigas estáticas.</w:t>
      </w:r>
      <w:r>
        <w:t xml:space="preserve"> </w:t>
      </w:r>
      <w:r>
        <w:t xml:space="preserve">Los puntales I son siempre múltiplos enteros de 15 mm de largo.</w:t>
      </w:r>
    </w:p>
    <w:p w14:paraId="385F286A" w14:textId="77777777" w:rsidR="002118D4" w:rsidRDefault="002118D4" w:rsidP="002118D4">
      <w:r>
        <w:t xml:space="preserve">Los puntales X, por el contrario, han sido diseñados para ser colocados en un ángulo de 45°.</w:t>
      </w:r>
      <w:r>
        <w:t xml:space="preserve"> </w:t>
      </w:r>
      <w:r>
        <w:t xml:space="preserve">Por este motivo, tienen medidas inclinadas; es decir, múltiplos enteros de </w:t>
      </w:r>
      <m:oMath>
        <m:r>
          <w:rPr>
            <w:rFonts w:ascii="Cambria Math" w:hAnsi="Cambria Math"/>
          </w:rPr>
          <m:t>15</m:t>
          <w:rPr>
            <w:rFonts w:ascii="Cambria Math" w:hAnsi="Cambria Math"/>
          </w:rPr>
          <m:t> </m:t>
        </m:r>
        <m:r>
          <m:rPr>
            <m:nor/>
          </m:rPr>
          <w:rPr>
            <w:rFonts w:ascii="Cambria Math" w:hAnsi="Cambria Math"/>
          </w:rPr>
          <m:t>mm</m:t>
        </m:r>
        <m:r>
          <w:rPr>
            <w:rFonts w:ascii="Cambria Math" w:hAnsi="Cambria Math"/>
          </w:rPr>
          <m:t>∙</m:t>
        </m:r>
        <m:rad>
          <m:radPr>
            <m:degHide m:val="1"/>
            <m:ctrlPr>
              <w:rPr>
                <w:rFonts w:ascii="Cambria Math" w:hAnsi="Cambria Math"/>
                <w:i/>
              </w:rPr>
            </m:ctrlPr>
          </m:radPr>
          <m:deg/>
          <m:e>
            <m:r>
              <w:rPr>
                <w:rFonts w:ascii="Cambria Math" w:hAnsi="Cambria Math"/>
              </w:rPr>
              <m:t>2</m:t>
            </m:r>
          </m:e>
        </m:rad>
      </m:oMath>
      <w:r>
        <w:t xml:space="preserve"> (el famoso </w:t>
      </w:r>
      <w:r>
        <w:rPr>
          <w:i/>
        </w:rPr>
        <w:t xml:space="preserve">teorema de Pitágoras</w:t>
      </w:r>
      <w:r>
        <w:t xml:space="preserve"> manda saludos).</w:t>
      </w:r>
    </w:p>
    <w:p w14:paraId="359E4C97" w14:textId="77777777" w:rsidR="002118D4" w:rsidRDefault="002118D4" w:rsidP="002118D4">
      <w:r>
        <w:t xml:space="preserve">En el soporte del tornillo de banco se encuentran montados solo puntales I 75 y puntales I 45, ¡pero todos inclinados!</w:t>
      </w:r>
    </w:p>
    <w:p w14:paraId="14ED0DC8" w14:textId="4829A348" w:rsidR="002118D4" w:rsidRDefault="002118D4" w:rsidP="002118D4">
      <w:pPr>
        <w:pStyle w:val="Listenabsatz"/>
        <w:numPr>
          <w:ilvl w:val="0"/>
          <w:numId w:val="49"/>
        </w:numPr>
      </w:pPr>
      <w:r>
        <w:t xml:space="preserve">¿Por qué el puntal I 75 en la parte trasera del soporte encaja </w:t>
      </w:r>
      <w:r>
        <w:rPr>
          <w:i/>
        </w:rPr>
        <w:t xml:space="preserve">exactamente</w:t>
      </w:r>
      <w:r>
        <w:t xml:space="preserve"> como montado en la viga estática?</w:t>
      </w:r>
    </w:p>
    <w:p w14:paraId="0069E56A" w14:textId="2A4FEA12" w:rsidR="002118D4" w:rsidRDefault="002118D4" w:rsidP="002118D4">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65366BB9" w14:textId="763F2CC3" w:rsidR="002118D4" w:rsidRDefault="002118D4" w:rsidP="002118D4">
      <w:pPr>
        <w:pStyle w:val="Listenabsatz"/>
        <w:numPr>
          <w:ilvl w:val="0"/>
          <w:numId w:val="49"/>
        </w:numPr>
      </w:pPr>
      <w:r>
        <w:t xml:space="preserve">¿Por qué los puntales I 45 montados en diagonal en los laterales encajan </w:t>
      </w:r>
      <w:r>
        <w:rPr>
          <w:i/>
        </w:rPr>
        <w:t xml:space="preserve">exactamente</w:t>
      </w:r>
      <w:r>
        <w:t xml:space="preserve"> ahí?</w:t>
      </w:r>
    </w:p>
    <w:p w14:paraId="70A52F58" w14:textId="56D38FE0" w:rsidR="002118D4" w:rsidRPr="000E0259" w:rsidRDefault="002118D4" w:rsidP="002118D4">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358B5D7E" w14:textId="77777777" w:rsidR="008F1EBB" w:rsidRPr="00EA192A" w:rsidRDefault="008F1EBB">
      <w:pPr>
        <w:spacing w:after="0"/>
        <w:jc w:val="left"/>
        <w:rPr>
          <w:rFonts w:cstheme="minorBidi"/>
        </w:rPr>
      </w:pPr>
      <w:r>
        <w:br w:type="page"/>
      </w:r>
    </w:p>
    <w:p w14:paraId="3E8E8BCE" w14:textId="77777777" w:rsidR="000E3CC9" w:rsidRPr="00EA192A" w:rsidRDefault="000E3CC9" w:rsidP="00216638">
      <w:pPr>
        <w:pStyle w:val="berschrift1"/>
      </w:pPr>
      <w:bookmarkStart w:id="0" w:name="_Hlk108169388"/>
      <w:r>
        <w:t xml:space="preserve">Anexos</w:t>
      </w:r>
    </w:p>
    <w:p w14:paraId="7D96404A" w14:textId="6D78D136" w:rsidR="009F7A10" w:rsidRPr="00EA192A" w:rsidRDefault="002118D4" w:rsidP="009D5B2A">
      <w:pPr>
        <w:pStyle w:val="berschrift2"/>
      </w:pPr>
      <w:r>
        <w:t xml:space="preserve">12 – Tornillo de banco</w:t>
      </w:r>
    </w:p>
    <w:p w14:paraId="082D4AA7" w14:textId="77777777" w:rsidR="009F7A10" w:rsidRPr="00EA192A" w:rsidRDefault="009F7A10" w:rsidP="009D5B2A">
      <w:pPr>
        <w:pStyle w:val="berschrift1"/>
      </w:pPr>
      <w:r>
        <w:t xml:space="preserve">Más información</w:t>
      </w:r>
    </w:p>
    <w:bookmarkEnd w:id="0"/>
    <w:p w14:paraId="6BCB4601" w14:textId="77777777" w:rsidR="002118D4" w:rsidRDefault="002118D4" w:rsidP="002118D4">
      <w:pPr>
        <w:pStyle w:val="Literatur"/>
        <w:rPr>
          <w:i/>
        </w:rPr>
      </w:pPr>
      <w:r>
        <w:t xml:space="preserve">[1]</w:t>
      </w:r>
      <w:r>
        <w:tab/>
      </w:r>
      <w:r>
        <w:t xml:space="preserve">Wikipedia:</w:t>
      </w:r>
      <w:r>
        <w:rPr>
          <w:i/>
        </w:rPr>
        <w:t xml:space="preserve"> </w:t>
      </w:r>
      <w:hyperlink r:id="rId10" w:history="1">
        <w:r>
          <w:rPr>
            <w:rStyle w:val="Hyperlink"/>
            <w:i/>
          </w:rPr>
          <w:t xml:space="preserve">Tornillo de banco</w:t>
        </w:r>
      </w:hyperlink>
      <w:r>
        <w:rPr>
          <w:i/>
        </w:rPr>
        <w:t xml:space="preserve">.</w:t>
      </w:r>
    </w:p>
    <w:p w14:paraId="70499097" w14:textId="77777777" w:rsidR="002118D4" w:rsidRDefault="002118D4" w:rsidP="002118D4">
      <w:pPr>
        <w:pStyle w:val="Literatur"/>
        <w:rPr>
          <w:i/>
        </w:rPr>
      </w:pPr>
      <w:r>
        <w:t xml:space="preserve">[2]</w:t>
      </w:r>
      <w:r>
        <w:tab/>
      </w:r>
      <w:r>
        <w:t xml:space="preserve">Wikipedia:</w:t>
      </w:r>
      <w:r>
        <w:rPr>
          <w:i/>
        </w:rPr>
        <w:t xml:space="preserve"> </w:t>
      </w:r>
      <w:hyperlink r:id="rId11" w:history="1">
        <w:r>
          <w:rPr>
            <w:rStyle w:val="Hyperlink"/>
            <w:i/>
          </w:rPr>
          <w:t xml:space="preserve">Espiral del sinfín</w:t>
        </w:r>
      </w:hyperlink>
      <w:r>
        <w:rPr>
          <w:i/>
        </w:rPr>
        <w:t xml:space="preserve"> (en alemán).</w:t>
      </w:r>
    </w:p>
    <w:p w14:paraId="513CF75A" w14:textId="77777777" w:rsidR="002118D4" w:rsidRDefault="002118D4" w:rsidP="002118D4">
      <w:pPr>
        <w:pStyle w:val="Literatur"/>
        <w:rPr>
          <w:i/>
        </w:rPr>
      </w:pPr>
      <w:r>
        <w:t xml:space="preserve">[3]</w:t>
      </w:r>
      <w:r>
        <w:tab/>
      </w:r>
      <w:r>
        <w:t xml:space="preserve">Wikipedia:</w:t>
      </w:r>
      <w:r>
        <w:t xml:space="preserve"> </w:t>
      </w:r>
      <w:hyperlink r:id="rId12" w:history="1">
        <w:r>
          <w:rPr>
            <w:rStyle w:val="Hyperlink"/>
            <w:i/>
          </w:rPr>
          <w:t xml:space="preserve">Engranaje con tornillo sinfín</w:t>
        </w:r>
      </w:hyperlink>
      <w:r>
        <w:rPr>
          <w:i/>
        </w:rPr>
        <w:t xml:space="preserve">.</w:t>
      </w:r>
    </w:p>
    <w:p w14:paraId="2AEA1356" w14:textId="77777777" w:rsidR="002118D4" w:rsidRDefault="002118D4" w:rsidP="002118D4">
      <w:pPr>
        <w:pStyle w:val="Literatur"/>
        <w:rPr>
          <w:i/>
        </w:rPr>
      </w:pPr>
      <w:r>
        <w:t xml:space="preserve">[4]</w:t>
      </w:r>
      <w:r>
        <w:tab/>
      </w:r>
      <w:r>
        <w:t xml:space="preserve">Wikipedia:</w:t>
      </w:r>
      <w:r>
        <w:t xml:space="preserve"> </w:t>
      </w:r>
      <w:hyperlink r:id="rId13" w:history="1">
        <w:r>
          <w:rPr>
            <w:rStyle w:val="Hyperlink"/>
            <w:i/>
          </w:rPr>
          <w:t xml:space="preserve">Módulo (rueda dentada)</w:t>
        </w:r>
      </w:hyperlink>
      <w:r>
        <w:rPr>
          <w:i/>
        </w:rPr>
        <w:t xml:space="preserve"> (en alemán).</w:t>
      </w:r>
    </w:p>
    <w:p w14:paraId="70F48356" w14:textId="77777777" w:rsidR="002118D4" w:rsidRPr="002B7FFC" w:rsidRDefault="002118D4" w:rsidP="002118D4">
      <w:pPr>
        <w:pStyle w:val="Literatur"/>
      </w:pPr>
      <w:r>
        <w:t xml:space="preserve">[5]</w:t>
      </w:r>
      <w:r>
        <w:tab/>
      </w:r>
      <w:r>
        <w:t xml:space="preserve">Thomas Püttmann:</w:t>
      </w:r>
      <w:r>
        <w:t xml:space="preserve"> </w:t>
      </w:r>
      <w:r>
        <w:rPr>
          <w:i/>
        </w:rPr>
        <w:t xml:space="preserve">Zahnräder und Übersetzungen (Teil 2) [Ruedas dentadas y transmisiones (Parte 2)]</w:t>
      </w:r>
      <w:r>
        <w:t xml:space="preserve"> (en alemán).</w:t>
      </w:r>
      <w:r>
        <w:t xml:space="preserve"> </w:t>
      </w:r>
      <w:hyperlink r:id="rId14" w:anchor="page=25" w:history="1">
        <w:r>
          <w:rPr>
            <w:rStyle w:val="Hyperlink"/>
          </w:rPr>
          <w:t xml:space="preserve">ft:pedia </w:t>
        </w:r>
        <w:r>
          <w:rPr>
            <w:rStyle w:val="Hyperlink"/>
            <w:color w:val="0000FF"/>
            <w:u w:val="single"/>
          </w:rPr>
          <w:t xml:space="preserve">3/2011</w:t>
        </w:r>
      </w:hyperlink>
      <w:r>
        <w:t xml:space="preserve">, págs. 25–28.</w:t>
      </w:r>
    </w:p>
    <w:p w14:paraId="6F5F63D0" w14:textId="77777777" w:rsidR="002118D4" w:rsidRDefault="002118D4" w:rsidP="002118D4">
      <w:pPr>
        <w:pStyle w:val="Literatur"/>
      </w:pPr>
      <w:r>
        <w:t xml:space="preserve">[6]</w:t>
      </w:r>
      <w:r>
        <w:tab/>
      </w:r>
      <w:r>
        <w:t xml:space="preserve">Wikipedia:</w:t>
      </w:r>
      <w:r>
        <w:rPr>
          <w:i/>
        </w:rPr>
        <w:t xml:space="preserve"> </w:t>
      </w:r>
      <w:hyperlink r:id="rId15" w:history="1">
        <w:r>
          <w:rPr>
            <w:rStyle w:val="Hyperlink"/>
            <w:i/>
          </w:rPr>
          <w:t xml:space="preserve">Pitágoras</w:t>
        </w:r>
      </w:hyperlink>
      <w:r>
        <w:t xml:space="preserve">.</w:t>
      </w:r>
    </w:p>
    <w:p w14:paraId="39852038" w14:textId="77777777" w:rsidR="002118D4" w:rsidRDefault="002118D4" w:rsidP="002118D4">
      <w:pPr>
        <w:pStyle w:val="Literatur"/>
        <w:rPr>
          <w:i/>
        </w:rPr>
      </w:pPr>
      <w:r>
        <w:t xml:space="preserve">[7]</w:t>
      </w:r>
      <w:r>
        <w:tab/>
      </w:r>
      <w:r>
        <w:t xml:space="preserve">Wikipedia:</w:t>
      </w:r>
      <w:r>
        <w:t xml:space="preserve"> </w:t>
      </w:r>
      <w:hyperlink r:id="rId16" w:anchor="Mathematik" w:history="1">
        <w:r>
          <w:rPr>
            <w:rStyle w:val="Hyperlink"/>
            <w:i/>
          </w:rPr>
          <w:t xml:space="preserve">Teorema de Pitágoras</w:t>
        </w:r>
      </w:hyperlink>
      <w:r>
        <w:rPr>
          <w:i/>
        </w:rPr>
        <w:t xml:space="preserve">.</w:t>
      </w:r>
    </w:p>
    <w:p w14:paraId="4331CF59" w14:textId="77777777" w:rsidR="002118D4" w:rsidRDefault="002118D4" w:rsidP="002118D4">
      <w:pPr>
        <w:pStyle w:val="Literatur"/>
      </w:pPr>
      <w:r>
        <w:t xml:space="preserve">[8]</w:t>
      </w:r>
      <w:r>
        <w:tab/>
      </w:r>
      <w:r>
        <w:t xml:space="preserve">Duden Learnattack GmbH:</w:t>
      </w:r>
      <w:r>
        <w:rPr>
          <w:i/>
        </w:rPr>
        <w:t xml:space="preserve"> </w:t>
      </w:r>
      <w:r>
        <w:rPr>
          <w:i/>
        </w:rPr>
        <w:t xml:space="preserve">Pythagoreische Zahlentripel [Terna numérica pitagórica].</w:t>
      </w:r>
      <w:r>
        <w:t xml:space="preserve"> </w:t>
      </w:r>
      <w:r>
        <w:t xml:space="preserve">En </w:t>
      </w:r>
      <w:hyperlink r:id="rId17" w:history="1">
        <w:r>
          <w:rPr>
            <w:rStyle w:val="Hyperlink"/>
            <w:i/>
          </w:rPr>
          <w:t xml:space="preserve">lernhelfer.de</w:t>
        </w:r>
      </w:hyperlink>
      <w:r>
        <w:t xml:space="preserve"> (en alemán).</w:t>
      </w:r>
    </w:p>
    <w:p w14:paraId="68EC5C5A" w14:textId="77777777" w:rsidR="002118D4" w:rsidRPr="00414025" w:rsidRDefault="002118D4" w:rsidP="002118D4">
      <w:pPr>
        <w:pStyle w:val="Literatur"/>
        <w:rPr>
          <w:i/>
        </w:rPr>
      </w:pPr>
      <w:r>
        <w:t xml:space="preserve">[9]</w:t>
      </w:r>
      <w:r>
        <w:tab/>
      </w:r>
      <w:r>
        <w:t xml:space="preserve">Wikipedia:</w:t>
      </w:r>
      <w:r>
        <w:rPr>
          <w:i/>
        </w:rPr>
        <w:t xml:space="preserve"> </w:t>
      </w:r>
      <w:hyperlink r:id="rId18" w:history="1">
        <w:r>
          <w:rPr>
            <w:rStyle w:val="Hyperlink"/>
            <w:i/>
          </w:rPr>
          <w:t xml:space="preserve">Terna pitagórica</w:t>
        </w:r>
      </w:hyperlink>
      <w:r>
        <w:rPr>
          <w:i/>
        </w:rPr>
        <w:t xml:space="preserve">.</w:t>
      </w:r>
    </w:p>
    <w:sectPr w:rsidR="002118D4" w:rsidRPr="00414025" w:rsidSect="00E96821">
      <w:headerReference w:type="even" r:id="rId19"/>
      <w:headerReference w:type="default" r:id="rId20"/>
      <w:footerReference w:type="even" r:id="rId21"/>
      <w:footerReference w:type="default" r:id="rId22"/>
      <w:headerReference w:type="first" r:id="rId23"/>
      <w:footerReference w:type="first" r:id="rId2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7B440" w14:textId="77777777" w:rsidR="0082486A" w:rsidRDefault="0082486A">
      <w:r>
        <w:separator/>
      </w:r>
    </w:p>
  </w:endnote>
  <w:endnote w:type="continuationSeparator" w:id="0">
    <w:p w14:paraId="77663E7C" w14:textId="77777777" w:rsidR="0082486A" w:rsidRDefault="0082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99912"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51BF9619" w14:textId="77777777" w:rsidR="007A67EC" w:rsidRDefault="007A67EC">
            <w:pPr>
              <w:pStyle w:val="Fuzeile"/>
              <w:jc w:val="right"/>
            </w:pPr>
            <w:r>
              <w:t xml:space="preserve">Página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de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DEE2981" w14:textId="77777777" w:rsidR="008F1C46" w:rsidRDefault="008F1C4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2B1BF" w14:textId="77777777" w:rsidR="008643D3" w:rsidRDefault="008643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C9328" w14:textId="77777777" w:rsidR="0082486A" w:rsidRDefault="0082486A">
      <w:r>
        <w:separator/>
      </w:r>
    </w:p>
  </w:footnote>
  <w:footnote w:type="continuationSeparator" w:id="0">
    <w:p w14:paraId="43836E99" w14:textId="77777777" w:rsidR="0082486A" w:rsidRDefault="00824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5FA50" w14:textId="77777777" w:rsidR="008F1C46" w:rsidRDefault="008F1C46" w:rsidP="00E96821">
    <w:pPr>
      <w:pStyle w:val="Kopfzeile"/>
    </w:pPr>
    <w:r>
      <w:rPr>
        <w:highlight w:val="yellow"/>
      </w:rPr>
      <w:t xml:space="preserve">EJE TEMÁTICO</w:t>
    </w:r>
    <w:r>
      <w:t xml:space="preserve"> </w:t>
    </w:r>
    <w:r>
      <w:tab/>
    </w:r>
    <w:r>
      <w:tab/>
    </w:r>
    <w:r>
      <w:drawing>
        <wp:inline distT="0" distB="0" distL="0" distR="0" wp14:anchorId="342DC092" wp14:editId="5A417CC0">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3EB0" w14:textId="215703C0" w:rsidR="008F1C46" w:rsidRPr="001A4BE3" w:rsidRDefault="008F1C46">
    <w:pPr>
      <w:pStyle w:val="Kopfzeile"/>
    </w:pPr>
    <w:r>
      <w:drawing>
        <wp:anchor distT="0" distB="0" distL="114300" distR="114300" simplePos="0" relativeHeight="251658240" behindDoc="0" locked="0" layoutInCell="1" allowOverlap="1" wp14:anchorId="1D5BB82E" wp14:editId="62B57BCC">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CTIM máquinas simples - ESO y bachillerato</w:t>
    </w:r>
    <w:r>
      <w:tab/>
    </w:r>
    <w:r>
      <w:tab/>
    </w:r>
    <w:r>
      <w:drawing>
        <wp:inline distT="0" distB="0" distL="0" distR="0" wp14:anchorId="675B3F10" wp14:editId="328F2F9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1B6FB" w14:textId="77777777" w:rsidR="008643D3" w:rsidRDefault="008643D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351D49"/>
    <w:multiLevelType w:val="hybridMultilevel"/>
    <w:tmpl w:val="EE3E432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0BF004E"/>
    <w:multiLevelType w:val="hybridMultilevel"/>
    <w:tmpl w:val="7A5CB222"/>
    <w:lvl w:ilvl="0" w:tplc="6F4ADAF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14C13CF"/>
    <w:multiLevelType w:val="hybridMultilevel"/>
    <w:tmpl w:val="D31EE7C2"/>
    <w:lvl w:ilvl="0" w:tplc="726E5C0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00B16E0"/>
    <w:multiLevelType w:val="hybridMultilevel"/>
    <w:tmpl w:val="79228B2A"/>
    <w:lvl w:ilvl="0" w:tplc="7C682B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7"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137623B"/>
    <w:multiLevelType w:val="hybridMultilevel"/>
    <w:tmpl w:val="069C0B16"/>
    <w:lvl w:ilvl="0" w:tplc="58529780">
      <w:start w:val="1"/>
      <w:numFmt w:val="decimal"/>
      <w:lvlText w:val="%1."/>
      <w:lvlJc w:val="left"/>
      <w:pPr>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5FC5BA3"/>
    <w:multiLevelType w:val="hybridMultilevel"/>
    <w:tmpl w:val="00D40712"/>
    <w:lvl w:ilvl="0" w:tplc="01F2DB4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6511D79"/>
    <w:multiLevelType w:val="hybridMultilevel"/>
    <w:tmpl w:val="D5FEFB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94316A"/>
    <w:multiLevelType w:val="hybridMultilevel"/>
    <w:tmpl w:val="4528793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80168105">
    <w:abstractNumId w:val="26"/>
  </w:num>
  <w:num w:numId="2" w16cid:durableId="2097286692">
    <w:abstractNumId w:val="10"/>
  </w:num>
  <w:num w:numId="3" w16cid:durableId="1094130088">
    <w:abstractNumId w:val="10"/>
  </w:num>
  <w:num w:numId="4" w16cid:durableId="1616255686">
    <w:abstractNumId w:val="10"/>
  </w:num>
  <w:num w:numId="5" w16cid:durableId="1248809300">
    <w:abstractNumId w:val="10"/>
  </w:num>
  <w:num w:numId="6" w16cid:durableId="649403920">
    <w:abstractNumId w:val="10"/>
  </w:num>
  <w:num w:numId="7" w16cid:durableId="1154495891">
    <w:abstractNumId w:val="10"/>
  </w:num>
  <w:num w:numId="8" w16cid:durableId="218445976">
    <w:abstractNumId w:val="10"/>
  </w:num>
  <w:num w:numId="9" w16cid:durableId="1409571668">
    <w:abstractNumId w:val="10"/>
  </w:num>
  <w:num w:numId="10" w16cid:durableId="1485778838">
    <w:abstractNumId w:val="10"/>
  </w:num>
  <w:num w:numId="11" w16cid:durableId="336157827">
    <w:abstractNumId w:val="14"/>
  </w:num>
  <w:num w:numId="12" w16cid:durableId="1462501521">
    <w:abstractNumId w:val="34"/>
  </w:num>
  <w:num w:numId="13" w16cid:durableId="2062706358">
    <w:abstractNumId w:val="13"/>
  </w:num>
  <w:num w:numId="14" w16cid:durableId="1338656225">
    <w:abstractNumId w:val="40"/>
  </w:num>
  <w:num w:numId="15" w16cid:durableId="880676940">
    <w:abstractNumId w:val="17"/>
  </w:num>
  <w:num w:numId="16" w16cid:durableId="1009919">
    <w:abstractNumId w:val="15"/>
  </w:num>
  <w:num w:numId="17" w16cid:durableId="264000709">
    <w:abstractNumId w:val="16"/>
  </w:num>
  <w:num w:numId="18" w16cid:durableId="1496147671">
    <w:abstractNumId w:val="18"/>
  </w:num>
  <w:num w:numId="19" w16cid:durableId="10307372">
    <w:abstractNumId w:val="38"/>
  </w:num>
  <w:num w:numId="20" w16cid:durableId="1857767169">
    <w:abstractNumId w:val="30"/>
  </w:num>
  <w:num w:numId="21" w16cid:durableId="1787236326">
    <w:abstractNumId w:val="28"/>
  </w:num>
  <w:num w:numId="22" w16cid:durableId="1052922554">
    <w:abstractNumId w:val="21"/>
  </w:num>
  <w:num w:numId="23" w16cid:durableId="744953623">
    <w:abstractNumId w:val="23"/>
  </w:num>
  <w:num w:numId="24" w16cid:durableId="523909430">
    <w:abstractNumId w:val="22"/>
  </w:num>
  <w:num w:numId="25" w16cid:durableId="1224371378">
    <w:abstractNumId w:val="27"/>
  </w:num>
  <w:num w:numId="26" w16cid:durableId="1189442834">
    <w:abstractNumId w:val="37"/>
  </w:num>
  <w:num w:numId="27" w16cid:durableId="797459399">
    <w:abstractNumId w:val="9"/>
  </w:num>
  <w:num w:numId="28" w16cid:durableId="935484874">
    <w:abstractNumId w:val="7"/>
  </w:num>
  <w:num w:numId="29" w16cid:durableId="2024168552">
    <w:abstractNumId w:val="6"/>
  </w:num>
  <w:num w:numId="30" w16cid:durableId="908153465">
    <w:abstractNumId w:val="5"/>
  </w:num>
  <w:num w:numId="31" w16cid:durableId="1604679648">
    <w:abstractNumId w:val="4"/>
  </w:num>
  <w:num w:numId="32" w16cid:durableId="2125296612">
    <w:abstractNumId w:val="8"/>
  </w:num>
  <w:num w:numId="33" w16cid:durableId="1771969131">
    <w:abstractNumId w:val="3"/>
  </w:num>
  <w:num w:numId="34" w16cid:durableId="1601450101">
    <w:abstractNumId w:val="2"/>
  </w:num>
  <w:num w:numId="35" w16cid:durableId="1712151311">
    <w:abstractNumId w:val="1"/>
  </w:num>
  <w:num w:numId="36" w16cid:durableId="1493639073">
    <w:abstractNumId w:val="0"/>
  </w:num>
  <w:num w:numId="37" w16cid:durableId="310987113">
    <w:abstractNumId w:val="12"/>
  </w:num>
  <w:num w:numId="38" w16cid:durableId="480075096">
    <w:abstractNumId w:val="24"/>
  </w:num>
  <w:num w:numId="39" w16cid:durableId="42758798">
    <w:abstractNumId w:val="31"/>
  </w:num>
  <w:num w:numId="40" w16cid:durableId="1174419628">
    <w:abstractNumId w:val="36"/>
  </w:num>
  <w:num w:numId="41" w16cid:durableId="959723515">
    <w:abstractNumId w:val="33"/>
  </w:num>
  <w:num w:numId="42" w16cid:durableId="1453329261">
    <w:abstractNumId w:val="11"/>
  </w:num>
  <w:num w:numId="43" w16cid:durableId="1032924104">
    <w:abstractNumId w:val="29"/>
  </w:num>
  <w:num w:numId="44" w16cid:durableId="496068682">
    <w:abstractNumId w:val="35"/>
  </w:num>
  <w:num w:numId="45" w16cid:durableId="1686445622">
    <w:abstractNumId w:val="25"/>
  </w:num>
  <w:num w:numId="46" w16cid:durableId="377513928">
    <w:abstractNumId w:val="32"/>
  </w:num>
  <w:num w:numId="47" w16cid:durableId="1355109255">
    <w:abstractNumId w:val="39"/>
  </w:num>
  <w:num w:numId="48" w16cid:durableId="633216895">
    <w:abstractNumId w:val="20"/>
  </w:num>
  <w:num w:numId="49" w16cid:durableId="167530532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3128"/>
    <w:rsid w:val="0012561E"/>
    <w:rsid w:val="001278F5"/>
    <w:rsid w:val="00136823"/>
    <w:rsid w:val="001418C5"/>
    <w:rsid w:val="0014583C"/>
    <w:rsid w:val="00150FB2"/>
    <w:rsid w:val="00151176"/>
    <w:rsid w:val="001535D9"/>
    <w:rsid w:val="00163927"/>
    <w:rsid w:val="0016405B"/>
    <w:rsid w:val="00165F39"/>
    <w:rsid w:val="0017296D"/>
    <w:rsid w:val="00190988"/>
    <w:rsid w:val="0019251C"/>
    <w:rsid w:val="001A4424"/>
    <w:rsid w:val="001A449E"/>
    <w:rsid w:val="001A4BE3"/>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E7E"/>
    <w:rsid w:val="002118D4"/>
    <w:rsid w:val="00216638"/>
    <w:rsid w:val="0021696B"/>
    <w:rsid w:val="00217A7E"/>
    <w:rsid w:val="002323C1"/>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5730"/>
    <w:rsid w:val="002A69BD"/>
    <w:rsid w:val="002B051B"/>
    <w:rsid w:val="002B0A39"/>
    <w:rsid w:val="002C2C32"/>
    <w:rsid w:val="002C5ABD"/>
    <w:rsid w:val="002C6297"/>
    <w:rsid w:val="002C645A"/>
    <w:rsid w:val="002D3AB9"/>
    <w:rsid w:val="002D3EE9"/>
    <w:rsid w:val="002E1AAA"/>
    <w:rsid w:val="002E2B0B"/>
    <w:rsid w:val="002E76E9"/>
    <w:rsid w:val="002E78C1"/>
    <w:rsid w:val="002E7A7C"/>
    <w:rsid w:val="002F099E"/>
    <w:rsid w:val="002F3C53"/>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4E78"/>
    <w:rsid w:val="00455455"/>
    <w:rsid w:val="004624B0"/>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6994"/>
    <w:rsid w:val="004D713B"/>
    <w:rsid w:val="004E0DD2"/>
    <w:rsid w:val="004E2EEA"/>
    <w:rsid w:val="004E3769"/>
    <w:rsid w:val="004F6D89"/>
    <w:rsid w:val="004F7A0B"/>
    <w:rsid w:val="00503BD5"/>
    <w:rsid w:val="00514710"/>
    <w:rsid w:val="0053689F"/>
    <w:rsid w:val="005420BE"/>
    <w:rsid w:val="00543BE7"/>
    <w:rsid w:val="00543C89"/>
    <w:rsid w:val="00555E05"/>
    <w:rsid w:val="00573ACB"/>
    <w:rsid w:val="00576668"/>
    <w:rsid w:val="005771A4"/>
    <w:rsid w:val="00586044"/>
    <w:rsid w:val="00591572"/>
    <w:rsid w:val="005940DF"/>
    <w:rsid w:val="00595245"/>
    <w:rsid w:val="005953A3"/>
    <w:rsid w:val="005A056E"/>
    <w:rsid w:val="005A1124"/>
    <w:rsid w:val="005A49AD"/>
    <w:rsid w:val="005A5578"/>
    <w:rsid w:val="005B6766"/>
    <w:rsid w:val="005C00E9"/>
    <w:rsid w:val="005D2CD9"/>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E3468"/>
    <w:rsid w:val="006E5040"/>
    <w:rsid w:val="006E5EA8"/>
    <w:rsid w:val="006E72F4"/>
    <w:rsid w:val="006F1403"/>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F00"/>
    <w:rsid w:val="007568CA"/>
    <w:rsid w:val="007578C2"/>
    <w:rsid w:val="007603AA"/>
    <w:rsid w:val="00761589"/>
    <w:rsid w:val="007622A5"/>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C65E1"/>
    <w:rsid w:val="007D2AE1"/>
    <w:rsid w:val="007D590D"/>
    <w:rsid w:val="007E05F7"/>
    <w:rsid w:val="007E287E"/>
    <w:rsid w:val="007E3AA1"/>
    <w:rsid w:val="007E7A52"/>
    <w:rsid w:val="007F41DA"/>
    <w:rsid w:val="00800F80"/>
    <w:rsid w:val="008058A1"/>
    <w:rsid w:val="00805C2F"/>
    <w:rsid w:val="00817D41"/>
    <w:rsid w:val="00820994"/>
    <w:rsid w:val="008219A2"/>
    <w:rsid w:val="0082486A"/>
    <w:rsid w:val="008333A8"/>
    <w:rsid w:val="00835C38"/>
    <w:rsid w:val="00837131"/>
    <w:rsid w:val="00842A30"/>
    <w:rsid w:val="0084523A"/>
    <w:rsid w:val="00845D86"/>
    <w:rsid w:val="00845F6A"/>
    <w:rsid w:val="00851230"/>
    <w:rsid w:val="00852E19"/>
    <w:rsid w:val="00852EE2"/>
    <w:rsid w:val="00853009"/>
    <w:rsid w:val="008530B7"/>
    <w:rsid w:val="00854259"/>
    <w:rsid w:val="00856971"/>
    <w:rsid w:val="008608D1"/>
    <w:rsid w:val="00864063"/>
    <w:rsid w:val="008643D3"/>
    <w:rsid w:val="008654A5"/>
    <w:rsid w:val="00867826"/>
    <w:rsid w:val="0087033F"/>
    <w:rsid w:val="00871348"/>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02A0"/>
    <w:rsid w:val="009D4B29"/>
    <w:rsid w:val="009D5B2A"/>
    <w:rsid w:val="009E6D4A"/>
    <w:rsid w:val="009F0679"/>
    <w:rsid w:val="009F2AD7"/>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57CDC"/>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A60"/>
    <w:rsid w:val="00AC5E5A"/>
    <w:rsid w:val="00AC6592"/>
    <w:rsid w:val="00AC6B0C"/>
    <w:rsid w:val="00AD5E38"/>
    <w:rsid w:val="00AD6F74"/>
    <w:rsid w:val="00AE0F63"/>
    <w:rsid w:val="00AE2DA0"/>
    <w:rsid w:val="00AE580E"/>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2DCC"/>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32B6"/>
    <w:rsid w:val="00C152B6"/>
    <w:rsid w:val="00C17812"/>
    <w:rsid w:val="00C17CA0"/>
    <w:rsid w:val="00C32791"/>
    <w:rsid w:val="00C33987"/>
    <w:rsid w:val="00C35FA3"/>
    <w:rsid w:val="00C41CC0"/>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A5C0C"/>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05A"/>
    <w:rsid w:val="00D01E7E"/>
    <w:rsid w:val="00D124A1"/>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D537C"/>
    <w:rsid w:val="00DE2CE3"/>
    <w:rsid w:val="00DE6379"/>
    <w:rsid w:val="00DE69CA"/>
    <w:rsid w:val="00DF11EF"/>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36A3"/>
    <w:rsid w:val="00E5587F"/>
    <w:rsid w:val="00E56803"/>
    <w:rsid w:val="00E72F37"/>
    <w:rsid w:val="00E7622D"/>
    <w:rsid w:val="00E81DF1"/>
    <w:rsid w:val="00E8260F"/>
    <w:rsid w:val="00E82918"/>
    <w:rsid w:val="00E8709C"/>
    <w:rsid w:val="00E96821"/>
    <w:rsid w:val="00EA192A"/>
    <w:rsid w:val="00EA3AD3"/>
    <w:rsid w:val="00EA7454"/>
    <w:rsid w:val="00EB2ECD"/>
    <w:rsid w:val="00EB5CCE"/>
    <w:rsid w:val="00EC0F53"/>
    <w:rsid w:val="00EC1DCF"/>
    <w:rsid w:val="00EE0456"/>
    <w:rsid w:val="00EE193C"/>
    <w:rsid w:val="00EE586D"/>
    <w:rsid w:val="00EE5CB5"/>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6926"/>
    <w:rsid w:val="00FA2682"/>
    <w:rsid w:val="00FB0D10"/>
    <w:rsid w:val="00FB1E99"/>
    <w:rsid w:val="00FB23E2"/>
    <w:rsid w:val="00FB4130"/>
    <w:rsid w:val="00FB51B5"/>
    <w:rsid w:val="00FB7830"/>
    <w:rsid w:val="00FC135F"/>
    <w:rsid w:val="00FC2057"/>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A9C14"/>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6638"/>
    <w:pPr>
      <w:spacing w:after="120"/>
      <w:jc w:val="both"/>
    </w:pPr>
    <w:rPr>
      <w:rFonts w:ascii="Comic Sans MS" w:hAnsi="Comic Sans MS"/>
      <w:sz w:val="24"/>
    </w:rPr>
  </w:style>
  <w:style w:type="paragraph" w:styleId="berschrift1">
    <w:name w:val="heading 1"/>
    <w:basedOn w:val="Standard"/>
    <w:next w:val="Autor"/>
    <w:link w:val="berschrift1Zchn"/>
    <w:autoRedefine/>
    <w:qFormat/>
    <w:rsid w:val="00216638"/>
    <w:pPr>
      <w:keepNext/>
      <w:keepLines/>
      <w:spacing w:before="480" w:after="480"/>
      <w:jc w:val="left"/>
      <w:outlineLvl w:val="0"/>
    </w:pPr>
    <w:rPr>
      <w:bCs/>
      <w:sz w:val="32"/>
      <w:szCs w:val="32"/>
    </w:rPr>
  </w:style>
  <w:style w:type="paragraph" w:styleId="berschrift2">
    <w:name w:val="heading 2"/>
    <w:basedOn w:val="berschrift1"/>
    <w:next w:val="Standard"/>
    <w:qFormat/>
    <w:rsid w:val="00216638"/>
    <w:pPr>
      <w:spacing w:before="360" w:after="120"/>
      <w:outlineLvl w:val="1"/>
    </w:p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16638"/>
    <w:rPr>
      <w:rFonts w:ascii="Comic Sans MS" w:hAnsi="Comic Sans MS"/>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D5B2A"/>
    <w:pPr>
      <w:numPr>
        <w:numId w:val="45"/>
      </w:numPr>
      <w:ind w:left="284" w:hanging="284"/>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e.wikipedia.org/wiki/Modul_(Zahnrad)" TargetMode="External"/><Relationship Id="rId18" Type="http://schemas.openxmlformats.org/officeDocument/2006/relationships/hyperlink" Target="https://es.wikipedia.org/wiki/Terna_pitag&#243;ric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es.wikipedia.org/wiki/Tornillo_sin_fin" TargetMode="External"/><Relationship Id="rId17" Type="http://schemas.openxmlformats.org/officeDocument/2006/relationships/hyperlink" Target="https://www.lernhelfer.de/schuelerlexikon/mathematik/artikel/pythagoreische-zahlentripe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s.wikipedia.org/wiki/Pit&#225;gora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e.wikipedia.org/wiki/Schneckengang"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s://es.wikipedia.org/wiki/Pit&#225;goras" TargetMode="External"/><Relationship Id="rId23" Type="http://schemas.openxmlformats.org/officeDocument/2006/relationships/header" Target="header3.xml"/><Relationship Id="rId10" Type="http://schemas.openxmlformats.org/officeDocument/2006/relationships/hyperlink" Target="https://es.wikipedia.org/wiki/Tornillo_de_banco"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ftcommunity.de/ftpedia/2011/2011-3/ftpedia-2011-3.pdf"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4B6671-48BE-49C0-BD55-77E269E90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738</Words>
  <Characters>6091</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6816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Stefan Falk</dc:creator>
  <cp:keywords/>
  <dc:description/>
  <cp:lastModifiedBy>Jörg Torkler</cp:lastModifiedBy>
  <cp:revision>8</cp:revision>
  <cp:lastPrinted>2021-08-19T17:10:00Z</cp:lastPrinted>
  <dcterms:created xsi:type="dcterms:W3CDTF">2022-07-11T14:14:00Z</dcterms:created>
  <dcterms:modified xsi:type="dcterms:W3CDTF">2022-07-15T11:50:00Z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