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708D2A98" w:rsidR="004B4FD0" w:rsidRPr="00216638" w:rsidRDefault="00AE67AF" w:rsidP="00216638">
      <w:pPr>
        <w:pStyle w:val="berschrift1"/>
      </w:pPr>
      <w:r>
        <w:t xml:space="preserve">Folha de soluções 12 - Prensa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1B5145C6" w14:textId="77777777" w:rsidR="009B3C99" w:rsidRDefault="009B3C99" w:rsidP="009B3C99">
      <w:pPr>
        <w:pStyle w:val="Listenabsatz"/>
        <w:numPr>
          <w:ilvl w:val="0"/>
          <w:numId w:val="0"/>
        </w:numPr>
      </w:pPr>
    </w:p>
    <w:p w14:paraId="1454514B" w14:textId="0B176383" w:rsidR="00184DD9" w:rsidRDefault="00184DD9" w:rsidP="00184DD9">
      <w:pPr>
        <w:pStyle w:val="Listenabsatz"/>
        <w:numPr>
          <w:ilvl w:val="0"/>
          <w:numId w:val="46"/>
        </w:numPr>
      </w:pPr>
      <w:r>
        <w:t xml:space="preserve">A alavanca cruzada como o último elemento anexado:</w:t>
      </w:r>
    </w:p>
    <w:p w14:paraId="2AFB8116" w14:textId="4885065D" w:rsidR="00184DD9" w:rsidRDefault="00184DD9" w:rsidP="00184DD9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7CC7649D" wp14:editId="086BC690">
            <wp:extent cx="3600000" cy="1954581"/>
            <wp:effectExtent l="0" t="0" r="635" b="762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95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1E6FE" w14:textId="77777777" w:rsidR="009B3C99" w:rsidRDefault="009B3C99" w:rsidP="00184DD9">
      <w:pPr>
        <w:pStyle w:val="Listenabsatz"/>
        <w:numPr>
          <w:ilvl w:val="0"/>
          <w:numId w:val="0"/>
        </w:numPr>
        <w:ind w:left="720"/>
      </w:pPr>
    </w:p>
    <w:p w14:paraId="1AE864C8" w14:textId="77777777" w:rsidR="00184DD9" w:rsidRDefault="00184DD9" w:rsidP="00184DD9">
      <w:pPr>
        <w:pStyle w:val="Listenabsatz"/>
        <w:numPr>
          <w:ilvl w:val="0"/>
          <w:numId w:val="46"/>
        </w:numPr>
      </w:pPr>
      <w:r>
        <w:t xml:space="preserve">O eixo de reforço (desenhado em amarelo) e as câmaras de mola para fixação:</w:t>
      </w:r>
    </w:p>
    <w:p w14:paraId="0276F478" w14:textId="0E8B8E8D" w:rsidR="00184DD9" w:rsidRDefault="00184DD9" w:rsidP="00184DD9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29AD289A" wp14:editId="72FB6ED0">
            <wp:extent cx="3600000" cy="2534803"/>
            <wp:effectExtent l="0" t="0" r="63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34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EC7DB" w14:textId="77777777" w:rsidR="00184DD9" w:rsidRDefault="00184DD9">
      <w:pPr>
        <w:spacing w:after="0"/>
        <w:jc w:val="left"/>
      </w:pPr>
      <w:r>
        <w:br w:type="page"/>
      </w:r>
    </w:p>
    <w:p w14:paraId="52456089" w14:textId="758FBB49" w:rsidR="00184DD9" w:rsidRDefault="00184DD9" w:rsidP="00184DD9">
      <w:pPr>
        <w:pStyle w:val="Listenabsatz"/>
        <w:numPr>
          <w:ilvl w:val="0"/>
          <w:numId w:val="46"/>
        </w:numPr>
      </w:pPr>
      <w:r>
        <w:t xml:space="preserve">O reforço frontal:</w:t>
      </w:r>
    </w:p>
    <w:p w14:paraId="4FCCF5D1" w14:textId="17EE84B7" w:rsidR="00184DD9" w:rsidRDefault="00184DD9" w:rsidP="00184DD9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32D71DB8" wp14:editId="019BF4F0">
            <wp:extent cx="3600000" cy="2705854"/>
            <wp:effectExtent l="0" t="0" r="635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705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61468" w14:textId="77777777" w:rsidR="009B3C99" w:rsidRDefault="009B3C99" w:rsidP="00184DD9">
      <w:pPr>
        <w:pStyle w:val="Listenabsatz"/>
        <w:numPr>
          <w:ilvl w:val="0"/>
          <w:numId w:val="0"/>
        </w:numPr>
        <w:ind w:left="720"/>
      </w:pPr>
    </w:p>
    <w:p w14:paraId="1ACD7409" w14:textId="77777777" w:rsidR="00184DD9" w:rsidRDefault="00184DD9" w:rsidP="00184DD9">
      <w:pPr>
        <w:pStyle w:val="Listenabsatz"/>
        <w:numPr>
          <w:ilvl w:val="0"/>
          <w:numId w:val="46"/>
        </w:numPr>
      </w:pPr>
      <w:r>
        <w:t xml:space="preserve">A conexão cruzada acima do rolamento do parafuso:</w:t>
      </w:r>
    </w:p>
    <w:p w14:paraId="4EACB29F" w14:textId="4E6BDB6B" w:rsidR="00184DD9" w:rsidRDefault="00184DD9" w:rsidP="00184DD9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57104D8A" wp14:editId="277B835F">
            <wp:extent cx="3600000" cy="2550281"/>
            <wp:effectExtent l="0" t="0" r="635" b="254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550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BB1CD" w14:textId="77777777" w:rsidR="00184DD9" w:rsidRDefault="00184DD9">
      <w:pPr>
        <w:spacing w:after="0"/>
        <w:jc w:val="left"/>
      </w:pPr>
      <w:r>
        <w:br w:type="page"/>
      </w:r>
    </w:p>
    <w:p w14:paraId="1C594298" w14:textId="5DA60CF3" w:rsidR="00184DD9" w:rsidRDefault="00184DD9" w:rsidP="00184DD9">
      <w:pPr>
        <w:pStyle w:val="Listenabsatz"/>
        <w:numPr>
          <w:ilvl w:val="0"/>
          <w:numId w:val="46"/>
        </w:numPr>
      </w:pPr>
      <w:r>
        <w:t xml:space="preserve">A conexão longitudinal acima da prensa:</w:t>
      </w:r>
    </w:p>
    <w:p w14:paraId="7032A484" w14:textId="77777777" w:rsidR="00184DD9" w:rsidRDefault="00184DD9" w:rsidP="00184DD9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486BA974" wp14:editId="6550AE17">
            <wp:extent cx="3600000" cy="2792371"/>
            <wp:effectExtent l="0" t="0" r="635" b="825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792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57E9E" w14:textId="247679FD" w:rsidR="00184DD9" w:rsidRPr="000E0259" w:rsidRDefault="00184DD9" w:rsidP="00184DD9">
      <w:pPr>
        <w:pStyle w:val="Listenabsatz"/>
        <w:numPr>
          <w:ilvl w:val="0"/>
          <w:numId w:val="0"/>
        </w:numPr>
        <w:ind w:left="720"/>
      </w:pPr>
      <w:r>
        <w:t xml:space="preserve">A desvantagem disso é que não podemos mais fixar uma peça de trabalho longa e maior transversalmente, como uma régua larga.</w:t>
      </w:r>
    </w:p>
    <w:p w14:paraId="7BFCEF52" w14:textId="30143E4B" w:rsidR="00F11ECD" w:rsidRDefault="00EA192A" w:rsidP="009D5B2A">
      <w:pPr>
        <w:pStyle w:val="berschrift2"/>
      </w:pPr>
      <w:r>
        <w:t xml:space="preserve">Tarefa temática</w:t>
      </w:r>
    </w:p>
    <w:p w14:paraId="4D417316" w14:textId="4B29AEE6" w:rsidR="00184DD9" w:rsidRDefault="00184DD9" w:rsidP="00184DD9">
      <w:pPr>
        <w:pStyle w:val="Listenabsatz"/>
        <w:numPr>
          <w:ilvl w:val="0"/>
          <w:numId w:val="47"/>
        </w:numPr>
      </w:pPr>
      <w:r>
        <w:t xml:space="preserve">Isso significa, por exemplo, que o eixo fischertechnik a ser fixado verticalmente pode realmente ser fixado verticalmente e mantido nesta orientação – mesmo que puxemos ou pressionemos em todas as direções ao usinar esta peça de trabalho.</w:t>
      </w:r>
    </w:p>
    <w:p w14:paraId="19279495" w14:textId="77777777" w:rsidR="009B3C99" w:rsidRDefault="009B3C99" w:rsidP="009B3C99">
      <w:pPr>
        <w:pStyle w:val="Listenabsatz"/>
        <w:numPr>
          <w:ilvl w:val="0"/>
          <w:numId w:val="0"/>
        </w:numPr>
        <w:ind w:left="720"/>
      </w:pPr>
    </w:p>
    <w:p w14:paraId="330F7893" w14:textId="77777777" w:rsidR="004632D7" w:rsidRDefault="00184DD9" w:rsidP="00184DD9">
      <w:pPr>
        <w:pStyle w:val="Listenabsatz"/>
        <w:numPr>
          <w:ilvl w:val="0"/>
          <w:numId w:val="47"/>
        </w:numPr>
      </w:pPr>
      <w:r>
        <w:t xml:space="preserve">A alavanca tem um raio de</w:t>
      </w:r>
    </w:p>
    <w:p w14:paraId="5CC8963C" w14:textId="77777777" w:rsidR="004632D7" w:rsidRDefault="00184DD9" w:rsidP="004632D7">
      <w:pPr>
        <w:pStyle w:val="Listenabsatz"/>
        <w:numPr>
          <w:ilvl w:val="0"/>
          <w:numId w:val="0"/>
        </w:numPr>
        <w:ind w:left="720"/>
      </w:pPr>
      <m:oMathPara>
        <m:oMath>
          <m:r>
            <w:rPr>
              <w:rFonts w:ascii="Cambria Math" w:hAnsi="Cambria Math"/>
            </w:rPr>
            <m:t>r=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</w:rPr>
                <m:t>90mm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</w:rPr>
                <m:t>15mm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105</m:t>
              </m:r>
              <m:r>
                <m:rPr>
                  <m:nor/>
                </m:rPr>
                <w:rPr>
                  <w:rFonts w:ascii="Cambria Math" w:hAnsi="Cambria Math"/>
                </w:rPr>
                <m:t>mm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=50,25</m:t>
          </m:r>
          <m:r>
            <m:rPr>
              <m:nor/>
            </m:rPr>
            <w:rPr>
              <w:rFonts w:ascii="Cambria Math" w:hAnsi="Cambria Math"/>
            </w:rPr>
            <m:t>mm</m:t>
          </m:r>
        </m:oMath>
      </m:oMathPara>
    </w:p>
    <w:p w14:paraId="6700540B" w14:textId="77777777" w:rsidR="004632D7" w:rsidRDefault="00184DD9" w:rsidP="004632D7">
      <w:pPr>
        <w:pStyle w:val="Listenabsatz"/>
        <w:numPr>
          <w:ilvl w:val="0"/>
          <w:numId w:val="0"/>
        </w:numPr>
        <w:ind w:left="720"/>
      </w:pPr>
      <w:r>
        <w:t xml:space="preserve">Uma revolução, portanto, tem a circunferência de</w:t>
      </w:r>
    </w:p>
    <w:p w14:paraId="2627DBF6" w14:textId="77777777" w:rsidR="004632D7" w:rsidRDefault="00184DD9" w:rsidP="004632D7">
      <w:pPr>
        <w:pStyle w:val="Listenabsatz"/>
        <w:numPr>
          <w:ilvl w:val="0"/>
          <w:numId w:val="0"/>
        </w:numPr>
        <w:ind w:left="720"/>
      </w:pPr>
      <m:oMathPara>
        <m:oMath>
          <m:r>
            <w:rPr>
              <w:rFonts w:ascii="Cambria Math" w:hAnsi="Cambria Math"/>
            </w:rPr>
            <m:t>U=2πr=105</m:t>
          </m:r>
          <m:r>
            <m:rPr>
              <m:nor/>
            </m:rPr>
            <w:rPr>
              <w:rFonts w:ascii="Cambria Math" w:hAnsi="Cambria Math"/>
            </w:rPr>
            <m:t>mm</m:t>
          </m:r>
          <m:r>
            <w:rPr>
              <w:rFonts w:ascii="Cambria Math" w:hAnsi="Cambria Math"/>
            </w:rPr>
            <m:t>∙π</m:t>
          </m:r>
        </m:oMath>
      </m:oMathPara>
    </w:p>
    <w:p w14:paraId="62E8EE41" w14:textId="1E7BE89B" w:rsidR="00184DD9" w:rsidRDefault="00184DD9" w:rsidP="004632D7">
      <w:pPr>
        <w:pStyle w:val="Listenabsatz"/>
        <w:numPr>
          <w:ilvl w:val="0"/>
          <w:numId w:val="0"/>
        </w:numPr>
        <w:ind w:left="720"/>
      </w:pPr>
      <w:r>
        <w:t xml:space="preserve">Assim, o ganho de força é, portanto,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105</m:t>
            </m:r>
            <m:r>
              <m:rPr>
                <m:nor/>
              </m:rPr>
              <w:rPr>
                <w:rFonts w:ascii="Cambria Math" w:hAnsi="Cambria Math"/>
              </w:rPr>
              <m:t>mm</m:t>
            </m:r>
            <m:r>
              <w:rPr>
                <w:rFonts w:ascii="Cambria Math" w:hAnsi="Cambria Math"/>
              </w:rPr>
              <m:t>∙π</m:t>
            </m:r>
          </m:num>
          <m:den>
            <m:r>
              <w:rPr>
                <w:rFonts w:ascii="Cambria Math" w:hAnsi="Cambria Math"/>
              </w:rPr>
              <m:t>1</m:t>
            </m:r>
            <m:r>
              <m:rPr>
                <m:nor/>
              </m:rPr>
              <w:rPr>
                <w:rFonts w:ascii="Cambria Math" w:hAnsi="Cambria Math"/>
              </w:rPr>
              <m:t>mm</m:t>
            </m:r>
          </m:den>
        </m:f>
        <m:r>
          <w:rPr>
            <w:rFonts w:ascii="Cambria Math" w:hAnsi="Cambria Math"/>
          </w:rPr>
          <m:t>≈330</m:t>
        </m:r>
      </m:oMath>
      <w:r>
        <w:t xml:space="preserve">vezes maior!</w:t>
      </w:r>
    </w:p>
    <w:p w14:paraId="129738EF" w14:textId="77777777" w:rsidR="009B3C99" w:rsidRDefault="009B3C99" w:rsidP="004632D7">
      <w:pPr>
        <w:pStyle w:val="Listenabsatz"/>
        <w:numPr>
          <w:ilvl w:val="0"/>
          <w:numId w:val="0"/>
        </w:numPr>
        <w:ind w:left="720"/>
      </w:pPr>
    </w:p>
    <w:p w14:paraId="1D091699" w14:textId="77777777" w:rsidR="00184DD9" w:rsidRPr="000E0259" w:rsidRDefault="00184DD9" w:rsidP="00184DD9">
      <w:pPr>
        <w:pStyle w:val="Listenabsatz"/>
        <w:numPr>
          <w:ilvl w:val="0"/>
          <w:numId w:val="47"/>
        </w:numPr>
      </w:pPr>
      <w:r>
        <w:t xml:space="preserve">Devido ao ajuste solto da alavanca de controle, você também pode estendê-la completamente em uma direção e, assim, obter quase o dobro do comprimento da alavanca – assim, quase o dobro da amplificação de força!</w:t>
      </w:r>
    </w:p>
    <w:p w14:paraId="11B708A1" w14:textId="77777777" w:rsidR="00184DD9" w:rsidRDefault="00184DD9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31760DDB" w14:textId="60F0D20C" w:rsidR="007B031B" w:rsidRPr="00EA192A" w:rsidRDefault="007B031B" w:rsidP="000E3CC9">
      <w:pPr>
        <w:pStyle w:val="berschrift2"/>
      </w:pPr>
      <w:r>
        <w:t xml:space="preserve">Tarefa experimental</w:t>
      </w:r>
    </w:p>
    <w:p w14:paraId="306E6C4B" w14:textId="7B8E3E5E" w:rsidR="009B3C99" w:rsidRDefault="00184DD9" w:rsidP="00184DD9">
      <w:pPr>
        <w:pStyle w:val="Listenabsatz"/>
        <w:numPr>
          <w:ilvl w:val="0"/>
          <w:numId w:val="48"/>
        </w:numPr>
      </w:pPr>
      <w:r>
        <w:t xml:space="preserve">O suporte I forma um triângulo reto com os feixes angulares ou com o espaço entre eles.</w:t>
      </w:r>
      <w:r>
        <w:t xml:space="preserve"> </w:t>
      </w:r>
      <w:r>
        <w:t xml:space="preserve">Contado em unidades de grade de 15</w:t>
      </w:r>
      <w:r>
        <w:noBreakHyphen/>
      </w:r>
      <w:r>
        <w:t xml:space="preserve">mm, tem o comprimento lateral 4 unidades na parte inferior e o comprimento lateral 3 unidades para cima.</w:t>
      </w:r>
      <w:r>
        <w:t xml:space="preserve"> </w:t>
      </w:r>
      <w:r>
        <w:t xml:space="preserve">Segundo Pitágoras, o comprimento da trave é, portanto, de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9+16</m:t>
            </m:r>
          </m:e>
        </m:ra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25</m:t>
            </m:r>
          </m:e>
        </m:rad>
        <m:r>
          <w:rPr>
            <w:rFonts w:ascii="Cambria Math" w:hAnsi="Cambria Math"/>
          </w:rPr>
          <m:t>=5</m:t>
        </m:r>
      </m:oMath>
      <w:r>
        <w:t xml:space="preserve"> unidades.</w:t>
      </w:r>
      <w:r>
        <w:t xml:space="preserve"> </w:t>
      </w:r>
      <w:r>
        <w:t xml:space="preserve">Isso funciona </w:t>
      </w:r>
      <w:r>
        <w:rPr>
          <w:i/>
        </w:rPr>
        <w:t xml:space="preserve">perfeitamente</w:t>
      </w:r>
      <w:r>
        <w:t xml:space="preserve"> .</w:t>
      </w:r>
      <w:r>
        <w:t xml:space="preserve"> </w:t>
      </w:r>
    </w:p>
    <w:p w14:paraId="271F1F5D" w14:textId="77777777" w:rsidR="009B3C99" w:rsidRDefault="009B3C99" w:rsidP="009B3C99">
      <w:pPr>
        <w:pStyle w:val="Listenabsatz"/>
        <w:numPr>
          <w:ilvl w:val="0"/>
          <w:numId w:val="0"/>
        </w:numPr>
        <w:ind w:left="720"/>
      </w:pPr>
    </w:p>
    <w:p w14:paraId="7E8F97A6" w14:textId="1AFB9A68" w:rsidR="00184DD9" w:rsidRDefault="00184DD9" w:rsidP="009B3C99">
      <w:pPr>
        <w:pStyle w:val="Listenabsatz"/>
        <w:numPr>
          <w:ilvl w:val="0"/>
          <w:numId w:val="0"/>
        </w:numPr>
        <w:ind w:left="720"/>
      </w:pPr>
      <w:r>
        <w:t xml:space="preserve">Pode-se provar que as raízes quadradas dos inteiros são sempre íntegras ou irracionais, mas nunca podem ser representadas exatamente pela fração de dois inteiros.</w:t>
      </w:r>
      <w:r>
        <w:t xml:space="preserve"> </w:t>
      </w:r>
      <w:r>
        <w:t xml:space="preserve">Combinações numéricas como 3, 4 e 5, onde isso funciona, são os chamados </w:t>
      </w:r>
      <w:r>
        <w:rPr>
          <w:i/>
        </w:rPr>
        <w:t xml:space="preserve">triplos de número pitagórico.</w:t>
      </w:r>
      <w:r>
        <w:t xml:space="preserve"> </w:t>
      </w:r>
      <w:r>
        <w:t xml:space="preserve">E 5 unidades de grade de 15 mm de comprimento cada resultam em 75 mm – e é por isso que o I-strut 75 se encaixa matematicamente com exatidão.</w:t>
      </w:r>
    </w:p>
    <w:p w14:paraId="36C78C19" w14:textId="77777777" w:rsidR="009B3C99" w:rsidRDefault="009B3C99" w:rsidP="009B3C99">
      <w:pPr>
        <w:pStyle w:val="Listenabsatz"/>
        <w:numPr>
          <w:ilvl w:val="0"/>
          <w:numId w:val="0"/>
        </w:numPr>
        <w:ind w:left="720"/>
      </w:pPr>
    </w:p>
    <w:p w14:paraId="3DA3E358" w14:textId="415F3DCE" w:rsidR="009B3C99" w:rsidRDefault="00184DD9" w:rsidP="00184DD9">
      <w:pPr>
        <w:pStyle w:val="Listenabsatz"/>
        <w:numPr>
          <w:ilvl w:val="0"/>
          <w:numId w:val="48"/>
        </w:numPr>
      </w:pPr>
      <w:r>
        <w:t xml:space="preserve">Uma vez que os dois feixes de ângulo no pé assentam-se de forma idêntica em pedras angulares de 30°, a distância entre seus orifícios mais baixos é de 45 mm – inalterada da distância das pedras angulares na placa de construção.</w:t>
      </w:r>
      <w:r>
        <w:t xml:space="preserve"> </w:t>
      </w:r>
    </w:p>
    <w:p w14:paraId="117D9F69" w14:textId="77777777" w:rsidR="009B3C99" w:rsidRDefault="009B3C99" w:rsidP="009B3C99">
      <w:pPr>
        <w:pStyle w:val="Listenabsatz"/>
        <w:numPr>
          <w:ilvl w:val="0"/>
          <w:numId w:val="0"/>
        </w:numPr>
        <w:ind w:left="720"/>
      </w:pPr>
    </w:p>
    <w:p w14:paraId="486ACA43" w14:textId="4BBF3693" w:rsidR="009B3C99" w:rsidRDefault="00184DD9" w:rsidP="009B3C99">
      <w:pPr>
        <w:pStyle w:val="Listenabsatz"/>
        <w:numPr>
          <w:ilvl w:val="0"/>
          <w:numId w:val="0"/>
        </w:numPr>
        <w:ind w:left="720"/>
      </w:pPr>
      <w:r>
        <w:t xml:space="preserve">O I-strut é fixado com sua extremidade superior exatamente 3 unidades de grade, portanto a exatamente 45 mm do orifício mais baixo.</w:t>
      </w:r>
      <w:r>
        <w:t xml:space="preserve"> </w:t>
      </w:r>
      <w:r>
        <w:t xml:space="preserve">A linha inferior imaginária (45 mm horizontal), o feixe de ângulo traseiro (45 mm dele) e o I-strut formam um triângulo pelo menos </w:t>
      </w:r>
      <w:r>
        <w:rPr>
          <w:i/>
        </w:rPr>
        <w:t xml:space="preserve">isósceles</w:t>
      </w:r>
      <w:r>
        <w:t xml:space="preserve"> (os dois lados anteriormente conhecidos têm o mesmo comprimento de 45 mm).</w:t>
      </w:r>
      <w:r>
        <w:t xml:space="preserve"> </w:t>
      </w:r>
    </w:p>
    <w:p w14:paraId="3F70F8D1" w14:textId="77777777" w:rsidR="009B3C99" w:rsidRDefault="009B3C99" w:rsidP="009B3C99">
      <w:pPr>
        <w:pStyle w:val="Listenabsatz"/>
        <w:numPr>
          <w:ilvl w:val="0"/>
          <w:numId w:val="0"/>
        </w:numPr>
        <w:ind w:left="720"/>
      </w:pPr>
    </w:p>
    <w:p w14:paraId="65B9AD32" w14:textId="3D58AEAF" w:rsidR="00184DD9" w:rsidRPr="000E0259" w:rsidRDefault="00184DD9" w:rsidP="009B3C99">
      <w:pPr>
        <w:pStyle w:val="Listenabsatz"/>
        <w:numPr>
          <w:ilvl w:val="0"/>
          <w:numId w:val="0"/>
        </w:numPr>
        <w:ind w:left="720"/>
      </w:pPr>
      <w:r>
        <w:t xml:space="preserve">Devido às pedras angulares de 30°, o ângulo de abertura entre a linha inferior imaginária e a linha do feixe de ângulo é exatamente 60°.</w:t>
      </w:r>
      <w:r>
        <w:t xml:space="preserve"> </w:t>
      </w:r>
      <w:r>
        <w:t xml:space="preserve">Como a soma dos ângulos internos do triângulo é sempre de 180° e os dois lados conhecidos têm o mesmo comprimento (45 mm), os outros dois ângulos internos também têm exatamente 60° de tamanho.</w:t>
      </w:r>
      <w:r>
        <w:t xml:space="preserve"> </w:t>
      </w:r>
      <w:r>
        <w:t xml:space="preserve">Portanto, é até mesmo um triângulo </w:t>
      </w:r>
      <w:r>
        <w:rPr>
          <w:i/>
        </w:rPr>
        <w:t xml:space="preserve">equilátero</w:t>
      </w:r>
      <w:r>
        <w:t xml:space="preserve"> – no qual todos os três lados têm o mesmo comprimento, ou seja, 45 mm.</w:t>
      </w:r>
      <w:r>
        <w:t xml:space="preserve"> </w:t>
      </w:r>
      <w:r>
        <w:t xml:space="preserve">O I-strut 45 tem matematicamente o comprimento exato necessário.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Sistemas</w:t>
      </w:r>
    </w:p>
    <w:p w14:paraId="7D96404A" w14:textId="660D8C96" w:rsidR="009F7A10" w:rsidRPr="00EA192A" w:rsidRDefault="00184DD9" w:rsidP="009D5B2A">
      <w:pPr>
        <w:pStyle w:val="berschrift2"/>
      </w:pPr>
      <w:r>
        <w:t xml:space="preserve">Prensa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Informações adicionais</w:t>
      </w:r>
    </w:p>
    <w:bookmarkEnd w:id="0"/>
    <w:p w14:paraId="77366538" w14:textId="77777777" w:rsidR="00184DD9" w:rsidRDefault="00184DD9" w:rsidP="00184DD9">
      <w:pPr>
        <w:pStyle w:val="Literatur"/>
        <w:rPr>
          <w:i/>
        </w:rPr>
      </w:pPr>
      <w:r>
        <w:t xml:space="preserve">[1]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5" w:history="1">
        <w:r>
          <w:rPr>
            <w:rStyle w:val="Hyperlink"/>
            <w:i/>
          </w:rPr>
          <w:t xml:space="preserve">Prensa</w:t>
        </w:r>
      </w:hyperlink>
      <w:r>
        <w:rPr>
          <w:i/>
        </w:rPr>
        <w:t xml:space="preserve">.</w:t>
      </w:r>
    </w:p>
    <w:p w14:paraId="7CD60F40" w14:textId="77777777" w:rsidR="00184DD9" w:rsidRDefault="00184DD9" w:rsidP="00184DD9">
      <w:pPr>
        <w:pStyle w:val="Literatur"/>
        <w:rPr>
          <w:i/>
        </w:rPr>
      </w:pPr>
      <w:r>
        <w:t xml:space="preserve">[2]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6" w:history="1">
        <w:r>
          <w:rPr>
            <w:rStyle w:val="Hyperlink"/>
            <w:i/>
          </w:rPr>
          <w:t xml:space="preserve">Passagem de parafuso</w:t>
        </w:r>
      </w:hyperlink>
      <w:r>
        <w:rPr>
          <w:i/>
        </w:rPr>
        <w:t xml:space="preserve">.</w:t>
      </w:r>
    </w:p>
    <w:p w14:paraId="3B13F878" w14:textId="77777777" w:rsidR="00184DD9" w:rsidRDefault="00184DD9" w:rsidP="00184DD9">
      <w:pPr>
        <w:pStyle w:val="Literatur"/>
        <w:rPr>
          <w:i/>
        </w:rPr>
      </w:pPr>
      <w:r>
        <w:t xml:space="preserve">[3]</w:t>
      </w:r>
      <w:r>
        <w:tab/>
      </w:r>
      <w:r>
        <w:t xml:space="preserve">Wikipedia:</w:t>
      </w:r>
      <w:r>
        <w:t xml:space="preserve"> </w:t>
      </w:r>
      <w:hyperlink r:id="rId17" w:history="1">
        <w:r>
          <w:rPr>
            <w:rStyle w:val="Hyperlink"/>
            <w:i/>
          </w:rPr>
          <w:t xml:space="preserve">Engrenagem helicoidal</w:t>
        </w:r>
      </w:hyperlink>
      <w:r>
        <w:rPr>
          <w:i/>
        </w:rPr>
        <w:t xml:space="preserve">.</w:t>
      </w:r>
    </w:p>
    <w:p w14:paraId="082FF4EE" w14:textId="77777777" w:rsidR="00184DD9" w:rsidRDefault="00184DD9" w:rsidP="00184DD9">
      <w:pPr>
        <w:pStyle w:val="Literatur"/>
        <w:rPr>
          <w:i/>
        </w:rPr>
      </w:pPr>
      <w:r>
        <w:t xml:space="preserve">[4]</w:t>
      </w:r>
      <w:r>
        <w:tab/>
      </w:r>
      <w:r>
        <w:t xml:space="preserve">Wikipedia:</w:t>
      </w:r>
      <w:r>
        <w:t xml:space="preserve"> </w:t>
      </w:r>
      <w:hyperlink r:id="rId18" w:history="1">
        <w:r>
          <w:rPr>
            <w:rStyle w:val="Hyperlink"/>
            <w:i/>
          </w:rPr>
          <w:t xml:space="preserve">Módulo (engrenagem)</w:t>
        </w:r>
      </w:hyperlink>
      <w:r>
        <w:rPr>
          <w:i/>
        </w:rPr>
        <w:t xml:space="preserve">.</w:t>
      </w:r>
    </w:p>
    <w:p w14:paraId="32D40011" w14:textId="77777777" w:rsidR="00184DD9" w:rsidRPr="002B7FFC" w:rsidRDefault="00184DD9" w:rsidP="00184DD9">
      <w:pPr>
        <w:pStyle w:val="Literatur"/>
      </w:pPr>
      <w:r>
        <w:t xml:space="preserve">[5]</w:t>
      </w:r>
      <w:r>
        <w:tab/>
      </w:r>
      <w:r>
        <w:t xml:space="preserve"> Thomas Püttmann:</w:t>
      </w:r>
      <w:r>
        <w:t xml:space="preserve"> </w:t>
      </w:r>
      <w:r>
        <w:rPr>
          <w:i/>
        </w:rPr>
        <w:t xml:space="preserve">Relações de engrenagens e marchas (Parte 2).</w:t>
      </w:r>
      <w:r>
        <w:t xml:space="preserve"> </w:t>
      </w:r>
      <w:hyperlink r:id="rId19" w:anchor="page=25" w:history="1">
        <w:r>
          <w:rPr>
            <w:rStyle w:val="Hyperlink"/>
          </w:rPr>
          <w:t xml:space="preserve">ft:pedia </w:t>
        </w:r>
        <w:r>
          <w:rPr>
            <w:rStyle w:val="Hyperlink"/>
            <w:color w:val="0000FF"/>
            <w:u w:val="single"/>
          </w:rPr>
          <w:t xml:space="preserve">3/2011</w:t>
        </w:r>
      </w:hyperlink>
      <w:r>
        <w:t xml:space="preserve">, S. 25–28.</w:t>
      </w:r>
    </w:p>
    <w:p w14:paraId="0A134919" w14:textId="77777777" w:rsidR="00184DD9" w:rsidRDefault="00184DD9" w:rsidP="00184DD9">
      <w:pPr>
        <w:pStyle w:val="Literatur"/>
      </w:pPr>
      <w:r>
        <w:t xml:space="preserve">[6]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20" w:history="1">
        <w:r>
          <w:rPr>
            <w:rStyle w:val="Hyperlink"/>
            <w:i/>
          </w:rPr>
          <w:t xml:space="preserve">Pitágoras</w:t>
        </w:r>
      </w:hyperlink>
      <w:r>
        <w:t xml:space="preserve">.</w:t>
      </w:r>
    </w:p>
    <w:p w14:paraId="20E7EB0C" w14:textId="77777777" w:rsidR="00184DD9" w:rsidRDefault="00184DD9" w:rsidP="00184DD9">
      <w:pPr>
        <w:pStyle w:val="Literatur"/>
        <w:rPr>
          <w:i/>
        </w:rPr>
      </w:pPr>
      <w:r>
        <w:t xml:space="preserve">[7]</w:t>
      </w:r>
      <w:r>
        <w:tab/>
      </w:r>
      <w:r>
        <w:t xml:space="preserve">Wikipedia:</w:t>
      </w:r>
      <w:r>
        <w:t xml:space="preserve"> </w:t>
      </w:r>
      <w:hyperlink r:id="rId21" w:anchor="Mathematik" w:history="1">
        <w:r>
          <w:rPr>
            <w:rStyle w:val="Hyperlink"/>
            <w:i/>
          </w:rPr>
          <w:t xml:space="preserve">Teorema de Pitágorad</w:t>
        </w:r>
      </w:hyperlink>
      <w:r>
        <w:rPr>
          <w:i/>
        </w:rPr>
        <w:t xml:space="preserve">.</w:t>
      </w:r>
    </w:p>
    <w:p w14:paraId="7C30F037" w14:textId="77777777" w:rsidR="00184DD9" w:rsidRDefault="00184DD9" w:rsidP="00184DD9">
      <w:pPr>
        <w:pStyle w:val="Literatur"/>
      </w:pPr>
      <w:r>
        <w:t xml:space="preserve">[8]</w:t>
      </w:r>
      <w:r>
        <w:tab/>
      </w:r>
      <w:r>
        <w:t xml:space="preserve">Duden Learnattack GmbH:</w:t>
      </w:r>
      <w:r>
        <w:rPr>
          <w:i/>
        </w:rPr>
        <w:t xml:space="preserve"> </w:t>
      </w:r>
      <w:r>
        <w:rPr>
          <w:i/>
        </w:rPr>
        <w:t xml:space="preserve">Triplos de número pitagórico.</w:t>
      </w:r>
      <w:r>
        <w:t xml:space="preserve"> </w:t>
      </w:r>
      <w:r>
        <w:t xml:space="preserve">Em </w:t>
      </w:r>
      <w:hyperlink r:id="rId22" w:history="1">
        <w:r>
          <w:rPr>
            <w:rStyle w:val="Hyperlink"/>
            <w:i/>
          </w:rPr>
          <w:t xml:space="preserve">lernhelfer.de</w:t>
        </w:r>
      </w:hyperlink>
      <w:r>
        <w:t xml:space="preserve">.</w:t>
      </w:r>
    </w:p>
    <w:p w14:paraId="7C7C6B68" w14:textId="77777777" w:rsidR="00184DD9" w:rsidRPr="00414025" w:rsidRDefault="00184DD9" w:rsidP="00184DD9">
      <w:pPr>
        <w:pStyle w:val="Literatur"/>
        <w:rPr>
          <w:i/>
        </w:rPr>
      </w:pPr>
      <w:r>
        <w:t xml:space="preserve">[9]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23" w:history="1">
        <w:r>
          <w:rPr>
            <w:rStyle w:val="Hyperlink"/>
            <w:i/>
          </w:rPr>
          <w:t xml:space="preserve">Triplo pitagórico</w:t>
        </w:r>
      </w:hyperlink>
      <w:r>
        <w:rPr>
          <w:i/>
        </w:rPr>
        <w:t xml:space="preserve">.</w:t>
      </w:r>
    </w:p>
    <w:sectPr w:rsidR="00184DD9" w:rsidRPr="00414025" w:rsidSect="00E96821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18AC2" w14:textId="77777777" w:rsidR="00346E48" w:rsidRDefault="00346E48">
      <w:r>
        <w:separator/>
      </w:r>
    </w:p>
  </w:endnote>
  <w:endnote w:type="continuationSeparator" w:id="0">
    <w:p w14:paraId="7817E8C8" w14:textId="77777777" w:rsidR="00346E48" w:rsidRDefault="00346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87D08" w14:textId="77777777" w:rsidR="00AA4656" w:rsidRDefault="00AA46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4DBCE" w14:textId="77777777" w:rsidR="00346E48" w:rsidRDefault="00346E48">
      <w:r>
        <w:separator/>
      </w:r>
    </w:p>
  </w:footnote>
  <w:footnote w:type="continuationSeparator" w:id="0">
    <w:p w14:paraId="008CDD71" w14:textId="77777777" w:rsidR="00346E48" w:rsidRDefault="00346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06047B11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AC9A8" w14:textId="77777777" w:rsidR="00AA4656" w:rsidRDefault="00AA46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2145E9"/>
    <w:multiLevelType w:val="hybridMultilevel"/>
    <w:tmpl w:val="09765F24"/>
    <w:lvl w:ilvl="0" w:tplc="6A7A4D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4EFE2AE5"/>
    <w:multiLevelType w:val="hybridMultilevel"/>
    <w:tmpl w:val="2BF80EFE"/>
    <w:lvl w:ilvl="0" w:tplc="7C1CCE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600D2"/>
    <w:multiLevelType w:val="hybridMultilevel"/>
    <w:tmpl w:val="AF7EE0F4"/>
    <w:lvl w:ilvl="0" w:tplc="13BC8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48586">
    <w:abstractNumId w:val="25"/>
  </w:num>
  <w:num w:numId="2" w16cid:durableId="1383485847">
    <w:abstractNumId w:val="10"/>
  </w:num>
  <w:num w:numId="3" w16cid:durableId="1924484083">
    <w:abstractNumId w:val="10"/>
  </w:num>
  <w:num w:numId="4" w16cid:durableId="1799183746">
    <w:abstractNumId w:val="10"/>
  </w:num>
  <w:num w:numId="5" w16cid:durableId="986319680">
    <w:abstractNumId w:val="10"/>
  </w:num>
  <w:num w:numId="6" w16cid:durableId="987393756">
    <w:abstractNumId w:val="10"/>
  </w:num>
  <w:num w:numId="7" w16cid:durableId="1659070287">
    <w:abstractNumId w:val="10"/>
  </w:num>
  <w:num w:numId="8" w16cid:durableId="1022052732">
    <w:abstractNumId w:val="10"/>
  </w:num>
  <w:num w:numId="9" w16cid:durableId="1557817210">
    <w:abstractNumId w:val="10"/>
  </w:num>
  <w:num w:numId="10" w16cid:durableId="1848475265">
    <w:abstractNumId w:val="10"/>
  </w:num>
  <w:num w:numId="11" w16cid:durableId="911964632">
    <w:abstractNumId w:val="14"/>
  </w:num>
  <w:num w:numId="12" w16cid:durableId="1961498966">
    <w:abstractNumId w:val="33"/>
  </w:num>
  <w:num w:numId="13" w16cid:durableId="1629780106">
    <w:abstractNumId w:val="13"/>
  </w:num>
  <w:num w:numId="14" w16cid:durableId="1476920464">
    <w:abstractNumId w:val="39"/>
  </w:num>
  <w:num w:numId="15" w16cid:durableId="1779790500">
    <w:abstractNumId w:val="18"/>
  </w:num>
  <w:num w:numId="16" w16cid:durableId="170918886">
    <w:abstractNumId w:val="16"/>
  </w:num>
  <w:num w:numId="17" w16cid:durableId="844979906">
    <w:abstractNumId w:val="17"/>
  </w:num>
  <w:num w:numId="18" w16cid:durableId="1891842444">
    <w:abstractNumId w:val="19"/>
  </w:num>
  <w:num w:numId="19" w16cid:durableId="456145080">
    <w:abstractNumId w:val="38"/>
  </w:num>
  <w:num w:numId="20" w16cid:durableId="1876234268">
    <w:abstractNumId w:val="30"/>
  </w:num>
  <w:num w:numId="21" w16cid:durableId="1753231629">
    <w:abstractNumId w:val="27"/>
  </w:num>
  <w:num w:numId="22" w16cid:durableId="2108571063">
    <w:abstractNumId w:val="20"/>
  </w:num>
  <w:num w:numId="23" w16cid:durableId="144467716">
    <w:abstractNumId w:val="22"/>
  </w:num>
  <w:num w:numId="24" w16cid:durableId="581329870">
    <w:abstractNumId w:val="21"/>
  </w:num>
  <w:num w:numId="25" w16cid:durableId="918759436">
    <w:abstractNumId w:val="26"/>
  </w:num>
  <w:num w:numId="26" w16cid:durableId="1499419201">
    <w:abstractNumId w:val="37"/>
  </w:num>
  <w:num w:numId="27" w16cid:durableId="1301039200">
    <w:abstractNumId w:val="9"/>
  </w:num>
  <w:num w:numId="28" w16cid:durableId="575627584">
    <w:abstractNumId w:val="7"/>
  </w:num>
  <w:num w:numId="29" w16cid:durableId="1041630831">
    <w:abstractNumId w:val="6"/>
  </w:num>
  <w:num w:numId="30" w16cid:durableId="1654529055">
    <w:abstractNumId w:val="5"/>
  </w:num>
  <w:num w:numId="31" w16cid:durableId="252322675">
    <w:abstractNumId w:val="4"/>
  </w:num>
  <w:num w:numId="32" w16cid:durableId="2063602480">
    <w:abstractNumId w:val="8"/>
  </w:num>
  <w:num w:numId="33" w16cid:durableId="1528372928">
    <w:abstractNumId w:val="3"/>
  </w:num>
  <w:num w:numId="34" w16cid:durableId="916790298">
    <w:abstractNumId w:val="2"/>
  </w:num>
  <w:num w:numId="35" w16cid:durableId="1271741631">
    <w:abstractNumId w:val="1"/>
  </w:num>
  <w:num w:numId="36" w16cid:durableId="1241868774">
    <w:abstractNumId w:val="0"/>
  </w:num>
  <w:num w:numId="37" w16cid:durableId="586497622">
    <w:abstractNumId w:val="12"/>
  </w:num>
  <w:num w:numId="38" w16cid:durableId="7567263">
    <w:abstractNumId w:val="23"/>
  </w:num>
  <w:num w:numId="39" w16cid:durableId="903638264">
    <w:abstractNumId w:val="31"/>
  </w:num>
  <w:num w:numId="40" w16cid:durableId="2106535885">
    <w:abstractNumId w:val="35"/>
  </w:num>
  <w:num w:numId="41" w16cid:durableId="503789866">
    <w:abstractNumId w:val="32"/>
  </w:num>
  <w:num w:numId="42" w16cid:durableId="564879418">
    <w:abstractNumId w:val="11"/>
  </w:num>
  <w:num w:numId="43" w16cid:durableId="506484546">
    <w:abstractNumId w:val="29"/>
  </w:num>
  <w:num w:numId="44" w16cid:durableId="1429960392">
    <w:abstractNumId w:val="34"/>
  </w:num>
  <w:num w:numId="45" w16cid:durableId="1275746919">
    <w:abstractNumId w:val="24"/>
  </w:num>
  <w:num w:numId="46" w16cid:durableId="883250089">
    <w:abstractNumId w:val="15"/>
  </w:num>
  <w:num w:numId="47" w16cid:durableId="42146919">
    <w:abstractNumId w:val="36"/>
  </w:num>
  <w:num w:numId="48" w16cid:durableId="715543676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8673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84DD9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46E48"/>
    <w:rsid w:val="0035076B"/>
    <w:rsid w:val="003516C2"/>
    <w:rsid w:val="0035785D"/>
    <w:rsid w:val="003612D5"/>
    <w:rsid w:val="003631EE"/>
    <w:rsid w:val="0036332F"/>
    <w:rsid w:val="00363EE2"/>
    <w:rsid w:val="003740D7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32D7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48D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0DCB"/>
    <w:rsid w:val="006A32D0"/>
    <w:rsid w:val="006A42A6"/>
    <w:rsid w:val="006B181A"/>
    <w:rsid w:val="006B5425"/>
    <w:rsid w:val="006C14DA"/>
    <w:rsid w:val="006C41F8"/>
    <w:rsid w:val="006D19AA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75091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26E"/>
    <w:rsid w:val="00946EE1"/>
    <w:rsid w:val="00952B09"/>
    <w:rsid w:val="00965E72"/>
    <w:rsid w:val="00981433"/>
    <w:rsid w:val="00981AA1"/>
    <w:rsid w:val="00981D89"/>
    <w:rsid w:val="0098265E"/>
    <w:rsid w:val="00986221"/>
    <w:rsid w:val="00987731"/>
    <w:rsid w:val="00994A3A"/>
    <w:rsid w:val="00994BF9"/>
    <w:rsid w:val="009972A6"/>
    <w:rsid w:val="009A25AA"/>
    <w:rsid w:val="009A4747"/>
    <w:rsid w:val="009A6161"/>
    <w:rsid w:val="009B3C99"/>
    <w:rsid w:val="009C354D"/>
    <w:rsid w:val="009C52DC"/>
    <w:rsid w:val="009C68DF"/>
    <w:rsid w:val="009C6B9D"/>
    <w:rsid w:val="009C7355"/>
    <w:rsid w:val="009C75AA"/>
    <w:rsid w:val="009D00FE"/>
    <w:rsid w:val="009D02A0"/>
    <w:rsid w:val="009D1CAB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A4656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9D1CAB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yperlink" Target="https://de.wikipedia.org/wiki/Modul_(Zahnrad)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de.wikipedia.org/wiki/Pythagoras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s://de.wikipedia.org/wiki/Schneckengetrieb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de.wikipedia.org/wiki/Schneckengang" TargetMode="External"/><Relationship Id="rId20" Type="http://schemas.openxmlformats.org/officeDocument/2006/relationships/hyperlink" Target="https://de.wikipedia.org/wiki/Pythagoras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de.wikipedia.org/wiki/Schraubstock" TargetMode="External"/><Relationship Id="rId23" Type="http://schemas.openxmlformats.org/officeDocument/2006/relationships/hyperlink" Target="https://de.wikipedia.org/wiki/Pythagoreisches_Tripel" TargetMode="External"/><Relationship Id="rId28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hyperlink" Target="https://ftcommunity.de/ftpedia/2011/2011-3/ftpedia-2011-3.pdf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yperlink" Target="https://www.lernhelfer.de/schuelerlexikon/mathematik/artikel/pythagoreische-zahlentripel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551378-A6BA-4854-936D-A191BB553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468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4032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3</cp:revision>
  <cp:lastPrinted>2021-08-19T17:10:00Z</cp:lastPrinted>
  <dcterms:created xsi:type="dcterms:W3CDTF">2022-07-21T09:33:00Z</dcterms:created>
  <dcterms:modified xsi:type="dcterms:W3CDTF">2022-07-21T09:33:00Z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